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142"/>
        <w:jc w:val="center"/>
        <w:rPr>
          <w:rFonts w:ascii="Cambria" w:hAnsi="Cambria" w:cstheme="minorHAnsi"/>
          <w:b/>
          <w:bCs/>
          <w:sz w:val="24"/>
          <w:szCs w:val="24"/>
        </w:rPr>
      </w:pPr>
      <w:bookmarkStart w:id="0" w:name="_Hlk102501485"/>
      <w:bookmarkStart w:id="1" w:name="_Hlk71789153"/>
      <w:r>
        <w:rPr>
          <w:rFonts w:ascii="Cambria" w:hAnsi="Cambria" w:cstheme="minorHAnsi"/>
          <w:b/>
          <w:bCs/>
          <w:sz w:val="24"/>
          <w:szCs w:val="24"/>
        </w:rPr>
        <w:t>TERMO DE EDITAL</w:t>
      </w:r>
    </w:p>
    <w:p>
      <w:pPr>
        <w:jc w:val="center"/>
        <w:rPr>
          <w:rFonts w:ascii="Cambria" w:hAnsi="Cambria" w:cstheme="minorHAnsi"/>
          <w:b/>
          <w:bCs/>
          <w:sz w:val="24"/>
          <w:szCs w:val="24"/>
        </w:rPr>
      </w:pPr>
      <w:r>
        <w:rPr>
          <w:rFonts w:ascii="Cambria" w:hAnsi="Cambria" w:cstheme="minorHAnsi"/>
          <w:b/>
          <w:bCs/>
          <w:sz w:val="24"/>
          <w:szCs w:val="24"/>
        </w:rPr>
        <w:t>PREGÃO ELETRÔNICO Nº 90011/2026 - PE</w:t>
      </w:r>
    </w:p>
    <w:p>
      <w:pPr>
        <w:jc w:val="center"/>
        <w:rPr>
          <w:rFonts w:ascii="Cambria" w:hAnsi="Cambria" w:cstheme="minorHAnsi"/>
          <w:b/>
          <w:bCs/>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16"/>
        </w:trPr>
        <w:tc>
          <w:tcPr>
            <w:tcW w:w="10057" w:type="dxa"/>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PARTE ESPECÍFICA (QUADRO DE RESUMO)</w:t>
            </w:r>
          </w:p>
        </w:tc>
      </w:tr>
    </w:tbl>
    <w:p>
      <w:pPr>
        <w:ind w:left="68"/>
        <w:jc w:val="center"/>
        <w:rPr>
          <w:rFonts w:ascii="Cambria" w:hAnsi="Cambria" w:cstheme="minorHAnsi"/>
          <w:bCs/>
          <w:sz w:val="24"/>
          <w:szCs w:val="24"/>
        </w:rPr>
      </w:pPr>
    </w:p>
    <w:tbl>
      <w:tblPr>
        <w:tblW w:w="5177" w:type="pct"/>
        <w:tblInd w:w="-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4A0" w:firstRow="1" w:lastRow="0" w:firstColumn="1" w:lastColumn="0" w:noHBand="0" w:noVBand="1"/>
      </w:tblPr>
      <w:tblGrid>
        <w:gridCol w:w="1959"/>
        <w:gridCol w:w="1602"/>
        <w:gridCol w:w="2122"/>
        <w:gridCol w:w="2775"/>
        <w:gridCol w:w="1617"/>
      </w:tblGrid>
      <w:tr>
        <w:trPr>
          <w:trHeight w:val="365"/>
        </w:trPr>
        <w:tc>
          <w:tcPr>
            <w:tcW w:w="763"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1.MODALIDADE</w:t>
            </w:r>
          </w:p>
        </w:tc>
        <w:tc>
          <w:tcPr>
            <w:tcW w:w="687"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2.FORMATO</w:t>
            </w:r>
          </w:p>
        </w:tc>
        <w:tc>
          <w:tcPr>
            <w:tcW w:w="1224"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color w:val="FFFFFF" w:themeColor="background1"/>
                <w:sz w:val="24"/>
                <w:szCs w:val="24"/>
                <w:lang w:eastAsia="pt-BR"/>
              </w:rPr>
              <w:t>3. Nº DO PROCESSO</w:t>
            </w:r>
          </w:p>
        </w:tc>
        <w:tc>
          <w:tcPr>
            <w:tcW w:w="1548"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bCs/>
                <w:color w:val="FFFFFF" w:themeColor="background1"/>
                <w:sz w:val="24"/>
                <w:szCs w:val="24"/>
                <w:lang w:eastAsia="pt-BR"/>
              </w:rPr>
              <w:t>4.ENDEREÇO/LOCAL DA DISPUTA:</w:t>
            </w:r>
          </w:p>
        </w:tc>
        <w:tc>
          <w:tcPr>
            <w:tcW w:w="778" w:type="pct"/>
            <w:shd w:val="clear" w:color="auto" w:fill="000099"/>
            <w:vAlign w:val="center"/>
          </w:tcPr>
          <w:p>
            <w:pPr>
              <w:jc w:val="center"/>
              <w:rPr>
                <w:rFonts w:ascii="Cambria" w:hAnsi="Cambria" w:cstheme="minorHAnsi"/>
                <w:b/>
                <w:color w:val="FFFFFF" w:themeColor="background1"/>
                <w:sz w:val="24"/>
                <w:szCs w:val="24"/>
                <w:lang w:eastAsia="pt-BR"/>
              </w:rPr>
            </w:pPr>
            <w:r>
              <w:rPr>
                <w:rFonts w:ascii="Cambria" w:hAnsi="Cambria" w:cstheme="minorHAnsi"/>
                <w:b/>
                <w:bCs/>
                <w:color w:val="FFFFFF" w:themeColor="background1"/>
                <w:sz w:val="24"/>
                <w:szCs w:val="24"/>
                <w:lang w:eastAsia="pt-BR"/>
              </w:rPr>
              <w:t>5.NÚMERO NO COMPRAS GOV</w:t>
            </w:r>
          </w:p>
        </w:tc>
      </w:tr>
      <w:tr>
        <w:trPr>
          <w:trHeight w:val="530"/>
        </w:trPr>
        <w:tc>
          <w:tcPr>
            <w:tcW w:w="763" w:type="pct"/>
            <w:vAlign w:val="center"/>
          </w:tcPr>
          <w:p>
            <w:pPr>
              <w:jc w:val="center"/>
              <w:rPr>
                <w:rFonts w:ascii="Cambria" w:hAnsi="Cambria" w:cstheme="minorHAnsi"/>
                <w:sz w:val="24"/>
                <w:szCs w:val="24"/>
                <w:lang w:eastAsia="pt-BR"/>
              </w:rPr>
            </w:pPr>
            <w:r>
              <w:rPr>
                <w:rFonts w:ascii="Cambria" w:hAnsi="Cambria" w:cstheme="minorHAnsi"/>
                <w:sz w:val="24"/>
                <w:szCs w:val="24"/>
                <w:lang w:eastAsia="pt-BR"/>
              </w:rPr>
              <w:t>PREGÃO</w:t>
            </w:r>
          </w:p>
        </w:tc>
        <w:tc>
          <w:tcPr>
            <w:tcW w:w="687" w:type="pct"/>
            <w:vAlign w:val="center"/>
          </w:tcPr>
          <w:p>
            <w:pPr>
              <w:jc w:val="center"/>
              <w:rPr>
                <w:rFonts w:ascii="Cambria" w:hAnsi="Cambria" w:cstheme="minorHAnsi"/>
                <w:color w:val="000000"/>
                <w:sz w:val="24"/>
                <w:szCs w:val="24"/>
                <w:lang w:eastAsia="pt-BR"/>
              </w:rPr>
            </w:pPr>
            <w:r>
              <w:rPr>
                <w:rFonts w:ascii="Cambria" w:hAnsi="Cambria" w:cstheme="minorHAnsi"/>
                <w:sz w:val="24"/>
                <w:szCs w:val="24"/>
                <w:lang w:eastAsia="pt-BR"/>
              </w:rPr>
              <w:t>ELETRÔNICO</w:t>
            </w:r>
          </w:p>
        </w:tc>
        <w:tc>
          <w:tcPr>
            <w:tcW w:w="1224" w:type="pct"/>
            <w:vAlign w:val="center"/>
          </w:tcPr>
          <w:p>
            <w:pPr>
              <w:jc w:val="center"/>
              <w:rPr>
                <w:rFonts w:ascii="Cambria" w:hAnsi="Cambria" w:cstheme="minorHAnsi"/>
                <w:b/>
                <w:bCs/>
                <w:sz w:val="24"/>
                <w:szCs w:val="24"/>
              </w:rPr>
            </w:pPr>
            <w:r>
              <w:rPr>
                <w:rFonts w:ascii="Cambria" w:hAnsi="Cambria" w:cstheme="minorHAnsi"/>
                <w:b/>
                <w:bCs/>
                <w:sz w:val="24"/>
                <w:szCs w:val="24"/>
              </w:rPr>
              <w:t>90011/2026 - PE</w:t>
            </w:r>
          </w:p>
        </w:tc>
        <w:tc>
          <w:tcPr>
            <w:tcW w:w="1548" w:type="pct"/>
            <w:vAlign w:val="center"/>
          </w:tcPr>
          <w:p>
            <w:pPr>
              <w:jc w:val="center"/>
              <w:rPr>
                <w:rFonts w:ascii="Cambria" w:hAnsi="Cambria" w:cstheme="minorHAnsi"/>
                <w:bCs/>
                <w:sz w:val="24"/>
                <w:szCs w:val="24"/>
                <w:lang w:eastAsia="pt-BR"/>
              </w:rPr>
            </w:pPr>
            <w:r>
              <w:rPr>
                <w:rFonts w:ascii="Cambria" w:hAnsi="Cambria" w:cstheme="minorHAnsi"/>
                <w:bCs/>
                <w:sz w:val="24"/>
                <w:szCs w:val="24"/>
                <w:lang w:eastAsia="pt-BR"/>
              </w:rPr>
              <w:t>www.compras.gov.br (comprasnet)</w:t>
            </w:r>
          </w:p>
        </w:tc>
        <w:tc>
          <w:tcPr>
            <w:tcW w:w="778" w:type="pct"/>
            <w:vAlign w:val="center"/>
          </w:tcPr>
          <w:p>
            <w:pPr>
              <w:jc w:val="center"/>
              <w:rPr>
                <w:rFonts w:ascii="Cambria" w:hAnsi="Cambria" w:cstheme="minorHAnsi"/>
                <w:b/>
                <w:bCs/>
                <w:sz w:val="24"/>
                <w:szCs w:val="24"/>
              </w:rPr>
            </w:pPr>
            <w:r>
              <w:rPr>
                <w:rFonts w:ascii="Cambria" w:hAnsi="Cambria" w:cstheme="minorHAnsi"/>
                <w:b/>
                <w:bCs/>
                <w:sz w:val="24"/>
                <w:szCs w:val="24"/>
              </w:rPr>
              <w:t>90011/2026 - PE</w:t>
            </w:r>
          </w:p>
        </w:tc>
      </w:tr>
    </w:tbl>
    <w:p>
      <w:pPr>
        <w:ind w:left="68"/>
        <w:jc w:val="center"/>
        <w:rPr>
          <w:rFonts w:ascii="Cambria" w:hAnsi="Cambria" w:cstheme="minorHAnsi"/>
          <w:bCs/>
          <w:sz w:val="24"/>
          <w:szCs w:val="24"/>
        </w:rPr>
      </w:pPr>
    </w:p>
    <w:tbl>
      <w:tblPr>
        <w:tblW w:w="5168"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4A0" w:firstRow="1" w:lastRow="0" w:firstColumn="1" w:lastColumn="0" w:noHBand="0" w:noVBand="1"/>
      </w:tblPr>
      <w:tblGrid>
        <w:gridCol w:w="10058"/>
      </w:tblGrid>
      <w:tr>
        <w:trPr>
          <w:trHeight w:val="339"/>
        </w:trPr>
        <w:tc>
          <w:tcPr>
            <w:tcW w:w="5000" w:type="pct"/>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6.OBJETO:</w:t>
            </w:r>
          </w:p>
        </w:tc>
      </w:tr>
      <w:tr>
        <w:trPr>
          <w:trHeight w:val="893"/>
        </w:trPr>
        <w:tc>
          <w:tcPr>
            <w:tcW w:w="5000" w:type="pct"/>
            <w:vAlign w:val="center"/>
          </w:tcPr>
          <w:p>
            <w:pPr>
              <w:jc w:val="both"/>
              <w:rPr>
                <w:rFonts w:ascii="Cambria" w:hAnsi="Cambria" w:cstheme="minorHAnsi"/>
                <w:sz w:val="24"/>
                <w:szCs w:val="24"/>
                <w:lang w:eastAsia="pt-BR"/>
              </w:rPr>
            </w:pPr>
            <w:bookmarkStart w:id="2" w:name="_Hlk95817543"/>
            <w:r>
              <w:rPr>
                <w:rFonts w:ascii="Cambria" w:hAnsi="Cambria" w:cstheme="minorHAnsi"/>
                <w:sz w:val="24"/>
                <w:szCs w:val="24"/>
                <w:lang w:eastAsia="pt-BR"/>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DE SAÚDE DO MUNICÍPIO DE MIRAÍMA/CE.</w:t>
            </w:r>
          </w:p>
        </w:tc>
      </w:tr>
      <w:bookmarkEnd w:id="2"/>
    </w:tbl>
    <w:p>
      <w:pPr>
        <w:ind w:left="68"/>
        <w:jc w:val="center"/>
        <w:rPr>
          <w:rFonts w:ascii="Cambria" w:hAnsi="Cambria" w:cstheme="minorHAnsi"/>
          <w:bCs/>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2518"/>
        <w:gridCol w:w="1559"/>
        <w:gridCol w:w="1727"/>
        <w:gridCol w:w="1985"/>
        <w:gridCol w:w="2268"/>
      </w:tblGrid>
      <w:tr>
        <w:trPr>
          <w:trHeight w:val="291"/>
        </w:trPr>
        <w:tc>
          <w:tcPr>
            <w:tcW w:w="2518"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7.DATA DA ABERTURA:</w:t>
            </w:r>
          </w:p>
        </w:tc>
        <w:tc>
          <w:tcPr>
            <w:tcW w:w="1559"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8.HORA DA ABERTURA</w:t>
            </w:r>
          </w:p>
        </w:tc>
        <w:tc>
          <w:tcPr>
            <w:tcW w:w="1727"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bCs/>
                <w:sz w:val="24"/>
                <w:szCs w:val="24"/>
                <w:lang w:eastAsia="pt-BR"/>
              </w:rPr>
              <w:t>9.TIPO:</w:t>
            </w:r>
          </w:p>
        </w:tc>
        <w:tc>
          <w:tcPr>
            <w:tcW w:w="1985"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bCs/>
                <w:sz w:val="24"/>
                <w:szCs w:val="24"/>
                <w:lang w:eastAsia="pt-BR"/>
              </w:rPr>
              <w:t>10.CRITÉRIO DE JULGAMENTO:</w:t>
            </w:r>
          </w:p>
        </w:tc>
        <w:tc>
          <w:tcPr>
            <w:tcW w:w="2268" w:type="dxa"/>
            <w:shd w:val="clear" w:color="auto" w:fill="000099"/>
            <w:vAlign w:val="center"/>
          </w:tcPr>
          <w:p>
            <w:pPr>
              <w:jc w:val="center"/>
              <w:rPr>
                <w:rFonts w:ascii="Cambria" w:hAnsi="Cambria" w:cstheme="minorHAnsi"/>
                <w:b/>
                <w:bCs/>
                <w:sz w:val="24"/>
                <w:szCs w:val="24"/>
                <w:lang w:eastAsia="pt-BR"/>
              </w:rPr>
            </w:pPr>
            <w:r>
              <w:rPr>
                <w:rFonts w:ascii="Cambria" w:hAnsi="Cambria" w:cstheme="minorHAnsi"/>
                <w:b/>
                <w:bCs/>
                <w:sz w:val="24"/>
                <w:szCs w:val="24"/>
                <w:lang w:eastAsia="pt-BR"/>
              </w:rPr>
              <w:t>11.MODO DE DISPUTA</w:t>
            </w:r>
          </w:p>
        </w:tc>
      </w:tr>
      <w:tr>
        <w:trPr>
          <w:trHeight w:val="291"/>
        </w:trPr>
        <w:tc>
          <w:tcPr>
            <w:tcW w:w="2518" w:type="dxa"/>
            <w:vAlign w:val="center"/>
          </w:tcPr>
          <w:p>
            <w:pPr>
              <w:jc w:val="center"/>
              <w:rPr>
                <w:rFonts w:ascii="Cambria" w:hAnsi="Cambria" w:cstheme="minorHAnsi"/>
                <w:b/>
                <w:sz w:val="24"/>
                <w:szCs w:val="24"/>
                <w:lang w:eastAsia="pt-BR"/>
              </w:rPr>
            </w:pPr>
            <w:r>
              <w:rPr>
                <w:rFonts w:ascii="Cambria" w:hAnsi="Cambria" w:cstheme="minorHAnsi"/>
                <w:sz w:val="24"/>
                <w:szCs w:val="24"/>
                <w:lang w:eastAsia="pt-BR"/>
              </w:rPr>
              <w:t>01/07/2026</w:t>
            </w:r>
          </w:p>
        </w:tc>
        <w:tc>
          <w:tcPr>
            <w:tcW w:w="1559" w:type="dxa"/>
            <w:vAlign w:val="center"/>
          </w:tcPr>
          <w:p>
            <w:pPr>
              <w:jc w:val="center"/>
              <w:rPr>
                <w:rFonts w:ascii="Cambria" w:hAnsi="Cambria" w:cstheme="minorHAnsi"/>
                <w:b/>
                <w:sz w:val="24"/>
                <w:szCs w:val="24"/>
                <w:lang w:eastAsia="pt-BR"/>
              </w:rPr>
            </w:pPr>
            <w:r>
              <w:rPr>
                <w:rFonts w:ascii="Cambria" w:hAnsi="Cambria" w:cstheme="minorHAnsi"/>
                <w:sz w:val="24"/>
                <w:szCs w:val="24"/>
                <w:lang w:eastAsia="pt-BR"/>
              </w:rPr>
              <w:t>às 09</w:t>
            </w:r>
            <w:r>
              <w:rPr>
                <w:rFonts w:ascii="Cambria" w:hAnsi="Cambria" w:cstheme="minorHAnsi"/>
                <w:bCs/>
                <w:sz w:val="24"/>
                <w:szCs w:val="24"/>
                <w:lang w:eastAsia="pt-BR"/>
              </w:rPr>
              <w:t>h00min</w:t>
            </w:r>
          </w:p>
        </w:tc>
        <w:tc>
          <w:tcPr>
            <w:tcW w:w="1727"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MENOR PREÇO</w:t>
            </w:r>
          </w:p>
        </w:tc>
        <w:tc>
          <w:tcPr>
            <w:tcW w:w="1985"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GLOBAL</w:t>
            </w:r>
          </w:p>
        </w:tc>
        <w:tc>
          <w:tcPr>
            <w:tcW w:w="2268" w:type="dxa"/>
            <w:vAlign w:val="center"/>
          </w:tcPr>
          <w:p>
            <w:pPr>
              <w:jc w:val="center"/>
              <w:rPr>
                <w:rFonts w:ascii="Cambria" w:hAnsi="Cambria" w:cstheme="minorHAnsi"/>
                <w:b/>
                <w:bCs/>
                <w:sz w:val="24"/>
                <w:szCs w:val="24"/>
                <w:lang w:eastAsia="pt-BR"/>
              </w:rPr>
            </w:pPr>
            <w:r>
              <w:rPr>
                <w:rFonts w:ascii="Cambria" w:hAnsi="Cambria" w:cstheme="minorHAnsi"/>
                <w:sz w:val="24"/>
                <w:szCs w:val="24"/>
                <w:lang w:eastAsia="pt-BR"/>
              </w:rPr>
              <w:t>ABERTO</w:t>
            </w:r>
          </w:p>
        </w:tc>
      </w:tr>
      <w:tr>
        <w:trPr>
          <w:trHeight w:val="291"/>
        </w:trPr>
        <w:tc>
          <w:tcPr>
            <w:tcW w:w="10057" w:type="dxa"/>
            <w:gridSpan w:val="5"/>
            <w:vAlign w:val="center"/>
          </w:tcPr>
          <w:p>
            <w:pPr>
              <w:jc w:val="both"/>
              <w:rPr>
                <w:rFonts w:ascii="Cambria" w:hAnsi="Cambria" w:cstheme="minorHAnsi"/>
                <w:sz w:val="24"/>
                <w:szCs w:val="24"/>
                <w:lang w:eastAsia="pt-BR"/>
              </w:rPr>
            </w:pPr>
            <w:r>
              <w:rPr>
                <w:rFonts w:ascii="Cambria" w:hAnsi="Cambria" w:cstheme="minorHAnsi"/>
                <w:sz w:val="24"/>
                <w:szCs w:val="24"/>
                <w:lang w:eastAsia="pt-BR"/>
              </w:rPr>
              <w:t>Referência de Tempo: para todas as referências de tempo utilizadas pelo sistema será observado o horário de Brasília/DF.</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98"/>
        </w:trPr>
        <w:tc>
          <w:tcPr>
            <w:tcW w:w="10057" w:type="dxa"/>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12.ÓRGÃOS:</w:t>
            </w:r>
          </w:p>
        </w:tc>
      </w:tr>
      <w:tr>
        <w:trPr>
          <w:trHeight w:val="411"/>
        </w:trPr>
        <w:tc>
          <w:tcPr>
            <w:tcW w:w="10057" w:type="dxa"/>
            <w:vAlign w:val="center"/>
          </w:tcPr>
          <w:p>
            <w:pPr>
              <w:pStyle w:val="PargrafodaLista"/>
              <w:numPr>
                <w:ilvl w:val="0"/>
                <w:numId w:val="43"/>
              </w:numPr>
              <w:tabs>
                <w:tab w:val="left" w:pos="426"/>
                <w:tab w:val="left" w:pos="2525"/>
                <w:tab w:val="center" w:pos="4873"/>
              </w:tabs>
              <w:ind w:left="426"/>
              <w:jc w:val="both"/>
              <w:rPr>
                <w:rFonts w:ascii="Cambria" w:hAnsi="Cambria" w:cstheme="minorHAnsi"/>
                <w:bCs/>
                <w:sz w:val="24"/>
                <w:szCs w:val="24"/>
              </w:rPr>
            </w:pPr>
            <w:r>
              <w:rPr>
                <w:rFonts w:ascii="Cambria" w:hAnsi="Cambria" w:cstheme="minorHAnsi"/>
                <w:bCs/>
                <w:sz w:val="24"/>
                <w:szCs w:val="24"/>
              </w:rPr>
              <w:t>SECRETARIA MUNICIPAL DE SAÚDE</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2402"/>
        <w:gridCol w:w="2126"/>
        <w:gridCol w:w="1959"/>
        <w:gridCol w:w="1843"/>
        <w:gridCol w:w="1727"/>
      </w:tblGrid>
      <w:tr>
        <w:tc>
          <w:tcPr>
            <w:tcW w:w="2402" w:type="dxa"/>
            <w:shd w:val="clear" w:color="auto" w:fill="000099"/>
            <w:vAlign w:val="center"/>
          </w:tcPr>
          <w:p>
            <w:pPr>
              <w:rPr>
                <w:rFonts w:ascii="Cambria" w:hAnsi="Cambria" w:cstheme="minorHAnsi"/>
                <w:b/>
                <w:sz w:val="24"/>
                <w:szCs w:val="24"/>
                <w:lang w:eastAsia="pt-BR"/>
              </w:rPr>
            </w:pPr>
            <w:r>
              <w:rPr>
                <w:rFonts w:ascii="Cambria" w:hAnsi="Cambria" w:cstheme="minorHAnsi"/>
                <w:b/>
                <w:sz w:val="24"/>
                <w:szCs w:val="24"/>
                <w:lang w:eastAsia="pt-BR"/>
              </w:rPr>
              <w:t>13.LICITAÇÃO EXCLUSIVA OU COM COTAS PARA ME E EPP?</w:t>
            </w:r>
          </w:p>
        </w:tc>
        <w:tc>
          <w:tcPr>
            <w:tcW w:w="2126"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14.FORNECIMENTO:</w:t>
            </w:r>
          </w:p>
        </w:tc>
        <w:tc>
          <w:tcPr>
            <w:tcW w:w="1959"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15. PRAZO PARA EXECUÇÃO:</w:t>
            </w:r>
          </w:p>
        </w:tc>
        <w:tc>
          <w:tcPr>
            <w:tcW w:w="1843" w:type="dxa"/>
            <w:shd w:val="clear" w:color="auto" w:fill="000099"/>
            <w:vAlign w:val="center"/>
          </w:tcPr>
          <w:p>
            <w:pPr>
              <w:jc w:val="center"/>
              <w:rPr>
                <w:rFonts w:ascii="Cambria" w:hAnsi="Cambria" w:cstheme="minorHAnsi"/>
                <w:b/>
                <w:sz w:val="24"/>
                <w:szCs w:val="24"/>
                <w:lang w:eastAsia="pt-BR"/>
              </w:rPr>
            </w:pPr>
            <w:r>
              <w:rPr>
                <w:rFonts w:ascii="Cambria" w:hAnsi="Cambria" w:cstheme="minorHAnsi"/>
                <w:b/>
                <w:sz w:val="24"/>
                <w:szCs w:val="24"/>
                <w:lang w:eastAsia="pt-BR"/>
              </w:rPr>
              <w:t>16.VIGÊNCIA DO CONTRATO:</w:t>
            </w:r>
          </w:p>
        </w:tc>
        <w:tc>
          <w:tcPr>
            <w:tcW w:w="1727" w:type="dxa"/>
            <w:shd w:val="clear" w:color="auto" w:fill="000099"/>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17.POSSIBILIDADE DE AMOSTRAS?</w:t>
            </w:r>
          </w:p>
        </w:tc>
      </w:tr>
      <w:tr>
        <w:trPr>
          <w:trHeight w:val="393"/>
        </w:trPr>
        <w:tc>
          <w:tcPr>
            <w:tcW w:w="2402"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NÃO</w:t>
            </w:r>
          </w:p>
        </w:tc>
        <w:tc>
          <w:tcPr>
            <w:tcW w:w="2126"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CONFORME DEMANDA</w:t>
            </w:r>
          </w:p>
        </w:tc>
        <w:tc>
          <w:tcPr>
            <w:tcW w:w="1959"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 xml:space="preserve">12 (doze meses) </w:t>
            </w:r>
          </w:p>
        </w:tc>
        <w:tc>
          <w:tcPr>
            <w:tcW w:w="1843"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12 MESES</w:t>
            </w:r>
          </w:p>
        </w:tc>
        <w:tc>
          <w:tcPr>
            <w:tcW w:w="1727" w:type="dxa"/>
            <w:vAlign w:val="center"/>
          </w:tcPr>
          <w:p>
            <w:pPr>
              <w:jc w:val="center"/>
              <w:rPr>
                <w:rFonts w:ascii="Cambria" w:hAnsi="Cambria" w:cstheme="minorHAnsi"/>
                <w:sz w:val="24"/>
                <w:szCs w:val="24"/>
                <w:lang w:eastAsia="pt-BR"/>
              </w:rPr>
            </w:pPr>
            <w:r>
              <w:rPr>
                <w:rFonts w:ascii="Cambria" w:hAnsi="Cambria" w:cstheme="minorHAnsi"/>
                <w:sz w:val="24"/>
                <w:szCs w:val="24"/>
                <w:lang w:eastAsia="pt-BR"/>
              </w:rPr>
              <w:t>NÃO</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58"/>
        </w:trPr>
        <w:tc>
          <w:tcPr>
            <w:tcW w:w="10057" w:type="dxa"/>
            <w:shd w:val="clear" w:color="auto" w:fill="F2F2F2"/>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18.DOS ATENDIMENTOS, PEDIDOS DE ESCLARECIMENTOS, IMPUGNAÇÕES, RECURSOS E VISTAS AO PROCESSO</w:t>
            </w:r>
          </w:p>
        </w:tc>
      </w:tr>
      <w:tr>
        <w:trPr>
          <w:trHeight w:val="479"/>
        </w:trPr>
        <w:tc>
          <w:tcPr>
            <w:tcW w:w="10057" w:type="dxa"/>
            <w:vAlign w:val="center"/>
          </w:tcPr>
          <w:p>
            <w:pPr>
              <w:spacing w:line="276" w:lineRule="auto"/>
              <w:jc w:val="both"/>
              <w:rPr>
                <w:rFonts w:ascii="Cambria" w:hAnsi="Cambria" w:cstheme="minorHAnsi"/>
                <w:sz w:val="24"/>
                <w:szCs w:val="24"/>
                <w:lang w:eastAsia="pt-BR"/>
              </w:rPr>
            </w:pPr>
            <w:r>
              <w:rPr>
                <w:rFonts w:ascii="Cambria" w:hAnsi="Cambria" w:cstheme="minorHAnsi"/>
                <w:sz w:val="24"/>
                <w:szCs w:val="24"/>
                <w:lang w:eastAsia="pt-BR"/>
              </w:rPr>
              <w:t xml:space="preserve">Todos os </w:t>
            </w:r>
            <w:r>
              <w:rPr>
                <w:rFonts w:ascii="Cambria" w:hAnsi="Cambria" w:cstheme="minorHAnsi"/>
                <w:b/>
                <w:sz w:val="24"/>
                <w:szCs w:val="24"/>
                <w:lang w:eastAsia="pt-BR"/>
              </w:rPr>
              <w:t>atendimentos</w:t>
            </w:r>
            <w:r>
              <w:rPr>
                <w:rFonts w:ascii="Cambria" w:hAnsi="Cambria" w:cstheme="minorHAnsi"/>
                <w:sz w:val="24"/>
                <w:szCs w:val="24"/>
                <w:lang w:eastAsia="pt-BR"/>
              </w:rPr>
              <w:t xml:space="preserve"> e demais tratativas com o Pregoeiro serão realizados </w:t>
            </w:r>
            <w:r>
              <w:rPr>
                <w:rFonts w:ascii="Cambria" w:hAnsi="Cambria" w:cstheme="minorHAnsi"/>
                <w:b/>
                <w:sz w:val="24"/>
                <w:szCs w:val="24"/>
                <w:lang w:eastAsia="pt-BR"/>
              </w:rPr>
              <w:t xml:space="preserve">exclusivamente </w:t>
            </w:r>
            <w:r>
              <w:rPr>
                <w:rFonts w:ascii="Cambria" w:hAnsi="Cambria" w:cstheme="minorHAnsi"/>
                <w:sz w:val="24"/>
                <w:szCs w:val="24"/>
                <w:lang w:eastAsia="pt-BR"/>
              </w:rPr>
              <w:t xml:space="preserve">por meio virtual, mediante pedido formal a ser enviado através do e-mail: </w:t>
            </w:r>
            <w:r>
              <w:rPr>
                <w:rFonts w:ascii="Cambria" w:hAnsi="Cambria" w:cstheme="minorHAnsi"/>
                <w:b/>
                <w:bCs/>
                <w:sz w:val="24"/>
                <w:szCs w:val="24"/>
                <w:lang w:eastAsia="pt-BR"/>
              </w:rPr>
              <w:t>licitacao@miraima.ce.gov.br</w:t>
            </w:r>
            <w:r>
              <w:rPr>
                <w:rFonts w:ascii="Cambria" w:hAnsi="Cambria" w:cstheme="minorHAnsi"/>
                <w:sz w:val="24"/>
                <w:szCs w:val="24"/>
                <w:lang w:eastAsia="pt-BR"/>
              </w:rPr>
              <w:t xml:space="preserve">, assim como os </w:t>
            </w:r>
            <w:r>
              <w:rPr>
                <w:rFonts w:ascii="Cambria" w:hAnsi="Cambria" w:cstheme="minorHAnsi"/>
                <w:b/>
                <w:sz w:val="24"/>
                <w:szCs w:val="24"/>
                <w:lang w:eastAsia="pt-BR"/>
              </w:rPr>
              <w:t xml:space="preserve">pedidos de esclarecimentos, impugnações, recursos e pedidos de vistas aos autos, </w:t>
            </w:r>
            <w:r>
              <w:rPr>
                <w:rFonts w:ascii="Cambria" w:hAnsi="Cambria" w:cstheme="minorHAnsi"/>
                <w:bCs/>
                <w:sz w:val="24"/>
                <w:szCs w:val="24"/>
                <w:lang w:eastAsia="pt-BR"/>
              </w:rPr>
              <w:t>nos termos consignados no presente edital</w:t>
            </w:r>
            <w:r>
              <w:rPr>
                <w:rFonts w:ascii="Cambria" w:hAnsi="Cambria" w:cstheme="minorHAnsi"/>
                <w:b/>
                <w:sz w:val="24"/>
                <w:szCs w:val="24"/>
                <w:lang w:eastAsia="pt-BR"/>
              </w:rPr>
              <w:t>.</w:t>
            </w:r>
          </w:p>
        </w:tc>
      </w:tr>
    </w:tbl>
    <w:p>
      <w:pPr>
        <w:jc w:val="both"/>
        <w:rPr>
          <w:rFonts w:ascii="Cambria" w:hAnsi="Cambria" w:cstheme="minorHAnsi"/>
          <w:sz w:val="24"/>
          <w:szCs w:val="24"/>
        </w:rPr>
      </w:pPr>
    </w:p>
    <w:tbl>
      <w:tblPr>
        <w:tblW w:w="100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10057"/>
      </w:tblGrid>
      <w:tr>
        <w:trPr>
          <w:trHeight w:val="258"/>
        </w:trPr>
        <w:tc>
          <w:tcPr>
            <w:tcW w:w="10057" w:type="dxa"/>
            <w:shd w:val="clear" w:color="auto" w:fill="F2F2F2"/>
            <w:vAlign w:val="center"/>
          </w:tcPr>
          <w:p>
            <w:pPr>
              <w:jc w:val="both"/>
              <w:rPr>
                <w:rFonts w:ascii="Cambria" w:hAnsi="Cambria" w:cstheme="minorHAnsi"/>
                <w:b/>
                <w:sz w:val="24"/>
                <w:szCs w:val="24"/>
                <w:lang w:eastAsia="pt-BR"/>
              </w:rPr>
            </w:pPr>
            <w:r>
              <w:rPr>
                <w:rFonts w:ascii="Cambria" w:hAnsi="Cambria" w:cstheme="minorHAnsi"/>
                <w:b/>
                <w:sz w:val="24"/>
                <w:szCs w:val="24"/>
                <w:lang w:eastAsia="pt-BR"/>
              </w:rPr>
              <w:t>19.OBSERVAÇÕES IMPORTANTES E OBSERVÂNCIA OBRIGATÓRIA:</w:t>
            </w:r>
          </w:p>
        </w:tc>
      </w:tr>
      <w:tr>
        <w:trPr>
          <w:trHeight w:val="821"/>
        </w:trPr>
        <w:tc>
          <w:tcPr>
            <w:tcW w:w="10057" w:type="dxa"/>
            <w:vAlign w:val="center"/>
          </w:tcPr>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rPr>
              <w:t>O presente edital se apresenta em duas partes (parte específica e parte geral), onde, na parte específica serão disciplinadas as definições singulares do objeto, qualificação técnica específica, peculiaridades e demais disposições do julgamento. Já na parte geral teremos as demais condições e entendimentos padronizados relativos ao procedimento.</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Existindo divergência entre as informações constantes da parte específica (quadro resumo) e dos demais campos do edital e seus anexos (parte geral), prevalecerão as informações constantes da parte específica.</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Havendo discrepância entre os textos constantes do edital e seus ANEXOS, inclusive quanto a especificação dos serviços, unidades e demais detalhamentos ante aqueles constantes da plataforma Compras Gov no site www.compras.gov.br prevalecerão as informações constantes do edital e seus ANEXOS.</w:t>
            </w:r>
          </w:p>
          <w:p>
            <w:pPr>
              <w:pStyle w:val="PargrafodaLista"/>
              <w:numPr>
                <w:ilvl w:val="0"/>
                <w:numId w:val="4"/>
              </w:numPr>
              <w:tabs>
                <w:tab w:val="left" w:pos="306"/>
              </w:tabs>
              <w:spacing w:line="276" w:lineRule="auto"/>
              <w:ind w:left="0" w:firstLine="0"/>
              <w:jc w:val="both"/>
              <w:rPr>
                <w:rFonts w:ascii="Cambria" w:hAnsi="Cambria" w:cstheme="minorHAnsi"/>
                <w:sz w:val="24"/>
                <w:szCs w:val="24"/>
              </w:rPr>
            </w:pPr>
            <w:r>
              <w:rPr>
                <w:rFonts w:ascii="Cambria" w:hAnsi="Cambria" w:cstheme="minorHAnsi"/>
                <w:sz w:val="24"/>
                <w:szCs w:val="24"/>
                <w:lang w:eastAsia="pt-BR"/>
              </w:rPr>
              <w:t>Os Regulamentos de Licitações e Contratos da Prefeitura Municipal de Miraíma/CE, são parte integrante desse instrumento. Os regulamentos poderão ser obtidos no seguinte endereço eletrônico: https://www.miraima.ce.gov.br/.</w:t>
            </w:r>
          </w:p>
        </w:tc>
      </w:tr>
      <w:bookmarkEnd w:id="0"/>
    </w:tbl>
    <w:p>
      <w:pPr>
        <w:spacing w:line="276" w:lineRule="auto"/>
        <w:jc w:val="center"/>
        <w:rPr>
          <w:rFonts w:ascii="Cambria" w:hAnsi="Cambria" w:cstheme="minorHAnsi"/>
          <w:b/>
          <w:bCs/>
          <w:sz w:val="24"/>
          <w:szCs w:val="24"/>
        </w:rPr>
      </w:pPr>
    </w:p>
    <w:p>
      <w:pPr>
        <w:rPr>
          <w:rFonts w:ascii="Cambria" w:hAnsi="Cambria" w:cstheme="minorHAnsi"/>
          <w:b/>
          <w:bCs/>
          <w:sz w:val="24"/>
          <w:szCs w:val="24"/>
        </w:rPr>
      </w:pPr>
      <w:r>
        <w:rPr>
          <w:rFonts w:ascii="Cambria" w:hAnsi="Cambria" w:cstheme="minorHAnsi"/>
          <w:b/>
          <w:bCs/>
          <w:sz w:val="24"/>
          <w:szCs w:val="24"/>
        </w:rPr>
        <w:br w:type="page"/>
      </w:r>
    </w:p>
    <w:p>
      <w:pPr>
        <w:spacing w:line="276" w:lineRule="auto"/>
        <w:jc w:val="center"/>
        <w:rPr>
          <w:rFonts w:ascii="Cambria" w:hAnsi="Cambria" w:cstheme="minorHAnsi"/>
          <w:sz w:val="24"/>
          <w:szCs w:val="24"/>
        </w:rPr>
      </w:pPr>
      <w:r>
        <w:rPr>
          <w:rFonts w:ascii="Cambria" w:hAnsi="Cambria" w:cstheme="minorHAnsi"/>
          <w:b/>
          <w:bCs/>
          <w:sz w:val="24"/>
          <w:szCs w:val="24"/>
        </w:rPr>
        <w:lastRenderedPageBreak/>
        <w:t>TERMO DE EDITAL</w:t>
      </w:r>
    </w:p>
    <w:p>
      <w:pPr>
        <w:jc w:val="center"/>
        <w:rPr>
          <w:rFonts w:ascii="Cambria" w:hAnsi="Cambria" w:cstheme="minorHAnsi"/>
          <w:b/>
          <w:bCs/>
          <w:sz w:val="24"/>
          <w:szCs w:val="24"/>
        </w:rPr>
      </w:pPr>
      <w:r>
        <w:rPr>
          <w:rFonts w:ascii="Cambria" w:hAnsi="Cambria" w:cstheme="minorHAnsi"/>
          <w:b/>
          <w:bCs/>
          <w:sz w:val="24"/>
          <w:szCs w:val="24"/>
        </w:rPr>
        <w:t>PREGÃO ELETRÔNICO Nº 90011/2026 - PE</w:t>
      </w:r>
    </w:p>
    <w:p>
      <w:pPr>
        <w:jc w:val="center"/>
        <w:rPr>
          <w:rFonts w:ascii="Cambria" w:hAnsi="Cambria" w:cstheme="minorHAnsi"/>
          <w:b/>
          <w:bCs/>
          <w:sz w:val="24"/>
          <w:szCs w:val="24"/>
        </w:rPr>
      </w:pPr>
    </w:p>
    <w:p>
      <w:pPr>
        <w:jc w:val="center"/>
        <w:rPr>
          <w:rFonts w:ascii="Cambria" w:hAnsi="Cambria" w:cstheme="minorHAnsi"/>
          <w:bCs/>
          <w:sz w:val="24"/>
          <w:szCs w:val="24"/>
        </w:rPr>
      </w:pPr>
    </w:p>
    <w:tbl>
      <w:tblPr>
        <w:tblW w:w="9631"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9631"/>
      </w:tblGrid>
      <w:tr>
        <w:trPr>
          <w:trHeight w:val="216"/>
        </w:trPr>
        <w:tc>
          <w:tcPr>
            <w:tcW w:w="9631" w:type="dxa"/>
            <w:shd w:val="clear" w:color="auto" w:fill="F2F2F2"/>
            <w:vAlign w:val="center"/>
          </w:tcPr>
          <w:p>
            <w:pPr>
              <w:jc w:val="center"/>
              <w:rPr>
                <w:rFonts w:ascii="Cambria" w:hAnsi="Cambria" w:cstheme="minorHAnsi"/>
                <w:b/>
                <w:sz w:val="24"/>
                <w:szCs w:val="24"/>
                <w:lang w:eastAsia="pt-BR"/>
              </w:rPr>
            </w:pPr>
            <w:r>
              <w:rPr>
                <w:rFonts w:ascii="Cambria" w:hAnsi="Cambria" w:cstheme="minorHAnsi"/>
                <w:b/>
                <w:color w:val="000000"/>
                <w:sz w:val="24"/>
                <w:szCs w:val="24"/>
                <w:lang w:eastAsia="pt-BR"/>
              </w:rPr>
              <w:t>PARTE GERAL</w:t>
            </w:r>
          </w:p>
        </w:tc>
      </w:tr>
    </w:tbl>
    <w:p>
      <w:pPr>
        <w:jc w:val="center"/>
        <w:rPr>
          <w:rFonts w:ascii="Cambria" w:hAnsi="Cambria" w:cstheme="minorHAnsi"/>
          <w:bCs/>
          <w:sz w:val="24"/>
          <w:szCs w:val="24"/>
        </w:rPr>
      </w:pPr>
    </w:p>
    <w:p>
      <w:pPr>
        <w:jc w:val="center"/>
        <w:rPr>
          <w:rFonts w:ascii="Cambria" w:hAnsi="Cambria" w:cstheme="minorHAnsi"/>
          <w:b/>
          <w:sz w:val="24"/>
          <w:szCs w:val="24"/>
        </w:rPr>
      </w:pPr>
      <w:r>
        <w:rPr>
          <w:rFonts w:ascii="Cambria" w:hAnsi="Cambria" w:cstheme="minorHAnsi"/>
          <w:b/>
          <w:bCs/>
          <w:sz w:val="24"/>
          <w:szCs w:val="24"/>
        </w:rPr>
        <w:t>PREÂMBULO</w:t>
      </w:r>
    </w:p>
    <w:p>
      <w:pPr>
        <w:jc w:val="both"/>
        <w:rPr>
          <w:rFonts w:ascii="Cambria" w:hAnsi="Cambria" w:cstheme="minorHAnsi"/>
          <w:sz w:val="24"/>
          <w:szCs w:val="24"/>
        </w:rPr>
      </w:pPr>
      <w:bookmarkStart w:id="3" w:name="_Toc121132280"/>
      <w:bookmarkStart w:id="4" w:name="_Toc121133039"/>
      <w:bookmarkStart w:id="5" w:name="_Toc121133119"/>
      <w:bookmarkStart w:id="6" w:name="_Toc141339270"/>
      <w:bookmarkStart w:id="7" w:name="_Toc141339300"/>
      <w:bookmarkStart w:id="8" w:name="_Toc141339325"/>
      <w:bookmarkStart w:id="9" w:name="_Toc154043663"/>
      <w:bookmarkStart w:id="10" w:name="_Toc154043751"/>
      <w:r>
        <w:rPr>
          <w:rFonts w:ascii="Cambria" w:hAnsi="Cambria" w:cstheme="minorHAnsi"/>
          <w:b/>
          <w:sz w:val="24"/>
          <w:szCs w:val="24"/>
        </w:rPr>
        <w:t>A PREFEITURA MUNICIPAL DE MIRAÍMA/CE</w:t>
      </w:r>
      <w:r>
        <w:rPr>
          <w:rFonts w:ascii="Cambria" w:hAnsi="Cambria" w:cstheme="minorHAnsi"/>
          <w:bCs/>
          <w:sz w:val="24"/>
          <w:szCs w:val="24"/>
        </w:rPr>
        <w:t>, por meio do Agente de Contratação, ora denominado de Pregoeiro e por ordem da autoridade competente deste processo a qual consta acima relacionada, torna público</w:t>
      </w:r>
      <w:r>
        <w:rPr>
          <w:rFonts w:ascii="Cambria" w:hAnsi="Cambria" w:cstheme="minorHAnsi"/>
          <w:sz w:val="24"/>
          <w:szCs w:val="24"/>
        </w:rPr>
        <w:t xml:space="preserve">, para conhecimento dos interessados, que se encontra aberto processo licitatório, na modalidade </w:t>
      </w:r>
      <w:r>
        <w:rPr>
          <w:rFonts w:ascii="Cambria" w:hAnsi="Cambria" w:cstheme="minorHAnsi"/>
          <w:b/>
          <w:sz w:val="24"/>
          <w:szCs w:val="24"/>
        </w:rPr>
        <w:t>PREGÃO</w:t>
      </w:r>
      <w:r>
        <w:rPr>
          <w:rFonts w:ascii="Cambria" w:hAnsi="Cambria" w:cstheme="minorHAnsi"/>
          <w:sz w:val="24"/>
          <w:szCs w:val="24"/>
        </w:rPr>
        <w:t xml:space="preserve">, em formato </w:t>
      </w:r>
      <w:r>
        <w:rPr>
          <w:rFonts w:ascii="Cambria" w:hAnsi="Cambria" w:cstheme="minorHAnsi"/>
          <w:b/>
          <w:sz w:val="24"/>
          <w:szCs w:val="24"/>
        </w:rPr>
        <w:t>ELETRÔNICO Nº 90011/2026 - PE</w:t>
      </w:r>
      <w:r>
        <w:rPr>
          <w:rFonts w:ascii="Cambria" w:hAnsi="Cambria" w:cstheme="minorHAnsi"/>
          <w:sz w:val="24"/>
          <w:szCs w:val="24"/>
        </w:rPr>
        <w:t xml:space="preserve">, do tipo e critério de julgamento assinalados no quadro resumo acima, do modo e nas condições fixadas no quadro de resumo inicial, a ser realizado em sessão pública por meio de comunicação via internet, através do endereço eletrônico </w:t>
      </w:r>
      <w:hyperlink r:id="rId8" w:history="1">
        <w:r>
          <w:rPr>
            <w:rStyle w:val="Hyperlink"/>
            <w:rFonts w:ascii="Cambria" w:hAnsi="Cambria" w:cstheme="minorHAnsi"/>
            <w:sz w:val="24"/>
            <w:szCs w:val="24"/>
            <w:lang w:eastAsia="pt-BR"/>
          </w:rPr>
          <w:t>www.compras.gov.br</w:t>
        </w:r>
      </w:hyperlink>
      <w:r>
        <w:rPr>
          <w:rFonts w:ascii="Cambria" w:hAnsi="Cambria" w:cstheme="minorHAnsi"/>
          <w:sz w:val="24"/>
          <w:szCs w:val="24"/>
        </w:rPr>
        <w:t xml:space="preserve"> dará início aos procedimentos de abertura e análise das propostas de preços, formalização de lances e análise e verificação dos documentos de habilitação e demais procedimentos atinentes ao processo, tudo mediante as condições estabelecidas e exigências previstas no presente Edital, na </w:t>
      </w:r>
      <w:bookmarkStart w:id="11" w:name="_Hlk147396693"/>
      <w:r>
        <w:rPr>
          <w:rFonts w:ascii="Cambria" w:hAnsi="Cambria" w:cstheme="minorHAnsi"/>
          <w:sz w:val="24"/>
          <w:szCs w:val="24"/>
        </w:rPr>
        <w:t xml:space="preserve">Lei Federal n.º 14.133, de 1º de abril de 2021, Decreto Municipal </w:t>
      </w:r>
      <w:bookmarkEnd w:id="11"/>
      <w:r>
        <w:rPr>
          <w:rFonts w:ascii="Cambria" w:hAnsi="Cambria" w:cstheme="minorHAnsi"/>
          <w:sz w:val="24"/>
          <w:szCs w:val="24"/>
        </w:rPr>
        <w:t>e nas demais normas complementares.</w:t>
      </w:r>
      <w:bookmarkEnd w:id="3"/>
      <w:bookmarkEnd w:id="4"/>
      <w:bookmarkEnd w:id="5"/>
      <w:bookmarkEnd w:id="6"/>
      <w:bookmarkEnd w:id="7"/>
      <w:bookmarkEnd w:id="8"/>
      <w:bookmarkEnd w:id="9"/>
      <w:bookmarkEnd w:id="10"/>
    </w:p>
    <w:p>
      <w:pPr>
        <w:pStyle w:val="Ttulo1"/>
        <w:numPr>
          <w:ilvl w:val="0"/>
          <w:numId w:val="0"/>
        </w:numPr>
        <w:rPr>
          <w:rFonts w:ascii="Cambria" w:hAnsi="Cambria" w:cstheme="minorHAnsi"/>
          <w:sz w:val="24"/>
          <w:szCs w:val="24"/>
        </w:rPr>
      </w:pPr>
      <w:bookmarkStart w:id="12" w:name="_Hlk102501651"/>
    </w:p>
    <w:p>
      <w:pPr>
        <w:jc w:val="both"/>
        <w:rPr>
          <w:rFonts w:ascii="Cambria" w:hAnsi="Cambria" w:cstheme="minorHAnsi"/>
          <w:sz w:val="24"/>
          <w:szCs w:val="24"/>
        </w:rPr>
      </w:pPr>
      <w:r>
        <w:rPr>
          <w:rFonts w:ascii="Cambria" w:hAnsi="Cambria" w:cstheme="minorHAnsi"/>
          <w:sz w:val="24"/>
          <w:szCs w:val="24"/>
        </w:rPr>
        <w:t>A parte geral do presente edital é subdividida em duas outras partes, conforme a seguir apresentadas:</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SUBPARTE A – CONDIÇÕES PARA COMPETIÇÃO, JULGAMENTO E ADJUDICAÇÃO</w:t>
      </w:r>
      <w:r>
        <w:rPr>
          <w:rFonts w:ascii="Cambria" w:hAnsi="Cambria" w:cstheme="minorHAnsi"/>
          <w:sz w:val="24"/>
          <w:szCs w:val="24"/>
        </w:rPr>
        <w:t>.</w:t>
      </w:r>
    </w:p>
    <w:p>
      <w:pPr>
        <w:jc w:val="both"/>
        <w:rPr>
          <w:rFonts w:ascii="Cambria" w:hAnsi="Cambria" w:cstheme="minorHAnsi"/>
          <w:sz w:val="24"/>
          <w:szCs w:val="24"/>
        </w:rPr>
      </w:pPr>
      <w:r>
        <w:rPr>
          <w:rFonts w:ascii="Cambria" w:hAnsi="Cambria" w:cstheme="minorHAnsi"/>
          <w:sz w:val="24"/>
          <w:szCs w:val="24"/>
        </w:rPr>
        <w:t>Em que são estabelecidos os requisitos e as condições para competição, julgamento e formalização da Homologação e do contrato.</w:t>
      </w:r>
    </w:p>
    <w:p>
      <w:pPr>
        <w:rPr>
          <w:rFonts w:ascii="Cambria" w:hAnsi="Cambria" w:cstheme="minorHAnsi"/>
          <w:b/>
          <w:sz w:val="24"/>
          <w:szCs w:val="24"/>
        </w:rPr>
      </w:pPr>
    </w:p>
    <w:p>
      <w:pPr>
        <w:rPr>
          <w:rFonts w:ascii="Cambria" w:hAnsi="Cambria" w:cstheme="minorHAnsi"/>
          <w:b/>
          <w:sz w:val="24"/>
          <w:szCs w:val="24"/>
        </w:rPr>
      </w:pPr>
      <w:r>
        <w:rPr>
          <w:rFonts w:ascii="Cambria" w:hAnsi="Cambria" w:cstheme="minorHAnsi"/>
          <w:b/>
          <w:sz w:val="24"/>
          <w:szCs w:val="24"/>
        </w:rPr>
        <w:t>SUBPARTE B – ANEXOS</w:t>
      </w:r>
    </w:p>
    <w:bookmarkEnd w:id="12"/>
    <w:p>
      <w:pPr>
        <w:jc w:val="both"/>
        <w:rPr>
          <w:rFonts w:ascii="Cambria" w:hAnsi="Cambria" w:cstheme="minorHAnsi"/>
          <w:sz w:val="24"/>
          <w:szCs w:val="24"/>
        </w:rPr>
      </w:pPr>
      <w:r>
        <w:rPr>
          <w:rFonts w:ascii="Cambria" w:hAnsi="Cambria" w:cstheme="minorHAnsi"/>
          <w:sz w:val="24"/>
          <w:szCs w:val="24"/>
        </w:rPr>
        <w:t>ANEXO I –Termo de Referência e seus anexos;</w:t>
      </w:r>
    </w:p>
    <w:p>
      <w:pPr>
        <w:jc w:val="both"/>
        <w:rPr>
          <w:rFonts w:ascii="Cambria" w:hAnsi="Cambria" w:cstheme="minorHAnsi"/>
          <w:sz w:val="24"/>
          <w:szCs w:val="24"/>
        </w:rPr>
      </w:pPr>
      <w:r>
        <w:rPr>
          <w:rFonts w:ascii="Cambria" w:hAnsi="Cambria" w:cstheme="minorHAnsi"/>
          <w:sz w:val="24"/>
          <w:szCs w:val="24"/>
        </w:rPr>
        <w:t>ANEXO II – Modelo da Proposta de Preços;</w:t>
      </w:r>
    </w:p>
    <w:p>
      <w:pPr>
        <w:jc w:val="both"/>
        <w:rPr>
          <w:rFonts w:ascii="Cambria" w:hAnsi="Cambria" w:cstheme="minorHAnsi"/>
          <w:sz w:val="24"/>
          <w:szCs w:val="24"/>
        </w:rPr>
      </w:pPr>
      <w:r>
        <w:rPr>
          <w:rFonts w:ascii="Cambria" w:hAnsi="Cambria" w:cstheme="minorHAnsi"/>
          <w:sz w:val="24"/>
          <w:szCs w:val="24"/>
        </w:rPr>
        <w:t>ANEXO III – Minuta do Contrato;</w:t>
      </w:r>
    </w:p>
    <w:p>
      <w:pPr>
        <w:rPr>
          <w:rFonts w:ascii="Cambria" w:hAnsi="Cambria" w:cstheme="minorHAnsi"/>
          <w:sz w:val="24"/>
          <w:szCs w:val="24"/>
        </w:rPr>
      </w:pPr>
    </w:p>
    <w:p>
      <w:pPr>
        <w:pStyle w:val="Ttulo1"/>
        <w:ind w:left="0" w:firstLine="0"/>
        <w:rPr>
          <w:rFonts w:ascii="Cambria" w:hAnsi="Cambria" w:cstheme="minorHAnsi"/>
          <w:sz w:val="24"/>
          <w:szCs w:val="24"/>
        </w:rPr>
      </w:pPr>
      <w:bookmarkStart w:id="13" w:name="_Toc161741797"/>
      <w:bookmarkStart w:id="14" w:name="_Toc164093656"/>
      <w:bookmarkEnd w:id="1"/>
      <w:r>
        <w:rPr>
          <w:rFonts w:ascii="Cambria" w:hAnsi="Cambria" w:cstheme="minorHAnsi"/>
          <w:sz w:val="24"/>
          <w:szCs w:val="24"/>
        </w:rPr>
        <w:t>DO OBJETO</w:t>
      </w:r>
      <w:bookmarkStart w:id="15" w:name="_Hlk73689509"/>
      <w:bookmarkEnd w:id="13"/>
      <w:bookmarkEnd w:id="14"/>
    </w:p>
    <w:p>
      <w:pPr>
        <w:pStyle w:val="PargrafodaLista"/>
        <w:numPr>
          <w:ilvl w:val="1"/>
          <w:numId w:val="3"/>
        </w:numPr>
        <w:ind w:left="0" w:firstLine="0"/>
        <w:jc w:val="both"/>
        <w:rPr>
          <w:rFonts w:ascii="Cambria" w:hAnsi="Cambria" w:cstheme="minorHAnsi"/>
          <w:b/>
          <w:bCs/>
          <w:sz w:val="24"/>
          <w:szCs w:val="24"/>
        </w:rPr>
      </w:pPr>
      <w:bookmarkStart w:id="16" w:name="_Hlk102502279"/>
      <w:bookmarkEnd w:id="15"/>
      <w:r>
        <w:rPr>
          <w:rFonts w:ascii="Cambria" w:hAnsi="Cambria" w:cstheme="minorHAnsi"/>
          <w:sz w:val="24"/>
          <w:szCs w:val="24"/>
        </w:rPr>
        <w:t xml:space="preserve">A presente licitação tem como objeto a </w:t>
      </w:r>
      <w:r>
        <w:rPr>
          <w:rFonts w:ascii="Cambria" w:hAnsi="Cambria" w:cstheme="minorHAnsi"/>
          <w:b/>
          <w:bCs/>
          <w:sz w:val="24"/>
          <w:szCs w:val="24"/>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DE SAÚDE DO MUNICÍPIO DE MIRAÍMA/CE</w:t>
      </w:r>
      <w:r>
        <w:rPr>
          <w:rFonts w:ascii="Cambria" w:hAnsi="Cambria" w:cstheme="minorHAnsi"/>
          <w:sz w:val="24"/>
          <w:szCs w:val="24"/>
        </w:rPr>
        <w:t>, tudo conforme especificações contidas no Termo de Referência, constante do anexo 01 do Edital.</w:t>
      </w:r>
      <w:bookmarkEnd w:id="16"/>
    </w:p>
    <w:p>
      <w:pPr>
        <w:tabs>
          <w:tab w:val="left" w:pos="426"/>
        </w:tabs>
        <w:jc w:val="both"/>
        <w:rPr>
          <w:rFonts w:ascii="Cambria" w:hAnsi="Cambria" w:cstheme="minorHAnsi"/>
          <w:sz w:val="24"/>
          <w:szCs w:val="24"/>
        </w:rPr>
      </w:pPr>
    </w:p>
    <w:p>
      <w:pPr>
        <w:pStyle w:val="Ttulo1"/>
        <w:ind w:left="0" w:firstLine="0"/>
        <w:rPr>
          <w:rFonts w:ascii="Cambria" w:hAnsi="Cambria" w:cstheme="minorHAnsi"/>
          <w:sz w:val="24"/>
          <w:szCs w:val="24"/>
        </w:rPr>
      </w:pPr>
      <w:bookmarkStart w:id="17" w:name="_Toc161741798"/>
      <w:bookmarkStart w:id="18" w:name="_Toc164093657"/>
      <w:r>
        <w:rPr>
          <w:rFonts w:ascii="Cambria" w:hAnsi="Cambria" w:cstheme="minorHAnsi"/>
          <w:sz w:val="24"/>
          <w:szCs w:val="24"/>
        </w:rPr>
        <w:t>DAS FASES DO PROCESSO LICITATÓRIO</w:t>
      </w:r>
      <w:bookmarkEnd w:id="17"/>
      <w:bookmarkEnd w:id="18"/>
    </w:p>
    <w:p>
      <w:pPr>
        <w:pStyle w:val="PargrafodaLista"/>
        <w:numPr>
          <w:ilvl w:val="1"/>
          <w:numId w:val="6"/>
        </w:numPr>
        <w:tabs>
          <w:tab w:val="left" w:pos="426"/>
        </w:tabs>
        <w:jc w:val="both"/>
        <w:rPr>
          <w:rFonts w:ascii="Cambria" w:hAnsi="Cambria" w:cstheme="minorHAnsi"/>
          <w:sz w:val="24"/>
          <w:szCs w:val="24"/>
        </w:rPr>
      </w:pPr>
      <w:r>
        <w:rPr>
          <w:rFonts w:ascii="Cambria" w:hAnsi="Cambria" w:cstheme="minorHAnsi"/>
          <w:sz w:val="24"/>
          <w:szCs w:val="24"/>
        </w:rPr>
        <w:t>A disputa do presente procedimento licitatório terá o seguinte trâmite, em fases distintas: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Credenciamento na plataforma Compras Gov no site www.compras.gov.br;</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Recebimento das “Propostas de preços” e “Documentos de Habilitação” via sistema;</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Abertura das Propostas de preços apresentadas, verificação e classificação inicial;</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lastRenderedPageBreak/>
        <w:t>Lances, aplicação do direito de preferência e critérios de desempate;</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Negociação, se for o caso;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Apresentação de propostas ajustadas, se for o caso;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Fase de aceitabilidade das propostas;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Habilitação do proponente melhor classificado;</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Recursos;</w:t>
      </w:r>
    </w:p>
    <w:p>
      <w:pPr>
        <w:pStyle w:val="PargrafodaLista"/>
        <w:numPr>
          <w:ilvl w:val="2"/>
          <w:numId w:val="6"/>
        </w:numPr>
        <w:tabs>
          <w:tab w:val="left" w:pos="426"/>
        </w:tabs>
        <w:jc w:val="both"/>
        <w:rPr>
          <w:rFonts w:ascii="Cambria" w:hAnsi="Cambria" w:cstheme="minorHAnsi"/>
          <w:sz w:val="24"/>
          <w:szCs w:val="24"/>
        </w:rPr>
      </w:pPr>
      <w:r>
        <w:rPr>
          <w:rFonts w:ascii="Cambria" w:hAnsi="Cambria" w:cstheme="minorHAnsi"/>
          <w:sz w:val="24"/>
          <w:szCs w:val="24"/>
        </w:rPr>
        <w:t>Adjudicação.</w:t>
      </w:r>
    </w:p>
    <w:p>
      <w:pPr>
        <w:pStyle w:val="PargrafodaLista"/>
        <w:ind w:left="390"/>
        <w:rPr>
          <w:rFonts w:ascii="Cambria" w:hAnsi="Cambria" w:cstheme="minorHAnsi"/>
          <w:sz w:val="24"/>
          <w:szCs w:val="24"/>
        </w:rPr>
      </w:pPr>
    </w:p>
    <w:p>
      <w:pPr>
        <w:pStyle w:val="Ttulo1"/>
        <w:ind w:left="0" w:firstLine="0"/>
        <w:rPr>
          <w:rFonts w:ascii="Cambria" w:hAnsi="Cambria" w:cstheme="minorHAnsi"/>
          <w:sz w:val="24"/>
          <w:szCs w:val="24"/>
        </w:rPr>
      </w:pPr>
      <w:bookmarkStart w:id="19" w:name="_Toc161741799"/>
      <w:bookmarkStart w:id="20" w:name="_Toc164093658"/>
      <w:r>
        <w:rPr>
          <w:rFonts w:ascii="Cambria" w:hAnsi="Cambria" w:cstheme="minorHAnsi"/>
          <w:sz w:val="24"/>
          <w:szCs w:val="24"/>
        </w:rPr>
        <w:t>DAS CONDIÇÕES PARA PARTICIPAÇÃO.</w:t>
      </w:r>
      <w:bookmarkEnd w:id="19"/>
      <w:bookmarkEnd w:id="20"/>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PODERÃO PARTICIPAR DESTA LICITAÇÃO:</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bCs/>
          <w:szCs w:val="24"/>
        </w:rPr>
        <w:t>Quaisquer</w:t>
      </w:r>
      <w:r>
        <w:rPr>
          <w:rFonts w:ascii="Cambria" w:hAnsi="Cambria" w:cstheme="minorHAnsi"/>
          <w:szCs w:val="24"/>
        </w:rPr>
        <w:t xml:space="preserve"> interessados na forma de </w:t>
      </w:r>
      <w:r>
        <w:rPr>
          <w:rFonts w:ascii="Cambria" w:hAnsi="Cambria" w:cstheme="minorHAnsi"/>
          <w:b/>
          <w:szCs w:val="24"/>
          <w:u w:val="single"/>
        </w:rPr>
        <w:t xml:space="preserve">PESSOA JURÍDICA </w:t>
      </w:r>
      <w:r>
        <w:rPr>
          <w:rFonts w:ascii="Cambria" w:hAnsi="Cambria" w:cstheme="minorHAnsi"/>
          <w:szCs w:val="24"/>
        </w:rPr>
        <w:t>que:</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 xml:space="preserve">Esteja regularmente estabelecida neste País, credenciados junto à plataforma Compras Gov no site </w:t>
      </w:r>
      <w:hyperlink r:id="rId9" w:history="1">
        <w:r>
          <w:rPr>
            <w:rStyle w:val="Hyperlink"/>
            <w:rFonts w:ascii="Cambria" w:hAnsi="Cambria" w:cstheme="minorHAnsi"/>
            <w:szCs w:val="24"/>
          </w:rPr>
          <w:t>www.compras.gov.br</w:t>
        </w:r>
      </w:hyperlink>
      <w:r>
        <w:rPr>
          <w:rFonts w:ascii="Cambria" w:hAnsi="Cambria" w:cstheme="minorHAnsi"/>
          <w:szCs w:val="24"/>
        </w:rPr>
        <w:t xml:space="preserve"> cadastrados ou não no Cadastro de Fornecedores da Prefeitura Municipal de Miraíma/CE e que satisfaçam a todas as condições da legislação em vigor, deste edital;</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Possua objetivos sociais / ramo de atividade compatível com o objeto da licitação, devendo, ainda, cumprir a legislações próprias quanto à forma constituição do tipo de empresa.</w:t>
      </w:r>
    </w:p>
    <w:p>
      <w:pPr>
        <w:pStyle w:val="Corpodetexto3"/>
        <w:numPr>
          <w:ilvl w:val="3"/>
          <w:numId w:val="5"/>
        </w:numPr>
        <w:tabs>
          <w:tab w:val="left" w:pos="851"/>
        </w:tabs>
        <w:ind w:left="0" w:firstLine="0"/>
        <w:jc w:val="both"/>
        <w:rPr>
          <w:rFonts w:ascii="Cambria" w:hAnsi="Cambria" w:cstheme="minorHAnsi"/>
          <w:szCs w:val="24"/>
        </w:rPr>
      </w:pPr>
      <w:r>
        <w:rPr>
          <w:rFonts w:ascii="Cambria" w:hAnsi="Cambria" w:cstheme="minorHAnsi"/>
          <w:szCs w:val="24"/>
        </w:rPr>
        <w:t>Constituídas na forma de cooperativas, desde que atendidos os requisitos do art. 16 da Lei 14.133/2021 e da legislação específica correspondente, mediante declaração em campo próprio do sistema;</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bCs/>
          <w:szCs w:val="24"/>
        </w:rPr>
        <w:t xml:space="preserve">Tratando-se de </w:t>
      </w:r>
      <w:r>
        <w:rPr>
          <w:rFonts w:ascii="Cambria" w:hAnsi="Cambria" w:cstheme="minorHAnsi"/>
          <w:szCs w:val="24"/>
        </w:rPr>
        <w:t>Microempresa – ME ou Empresa de Pequeno Porte - EPP</w:t>
      </w:r>
      <w:r>
        <w:rPr>
          <w:rFonts w:ascii="Cambria" w:hAnsi="Cambria" w:cstheme="minorHAnsi"/>
          <w:bCs/>
          <w:szCs w:val="24"/>
        </w:rPr>
        <w:t xml:space="preserve"> e as cooperativas que se enquadrem nos termos do art. 34, da Lei Federal n° 11.488/2007, e que não se encontram em qualquer das exclusões relacionadas no § 4º do artigo 3º da Lei Complementar nº 123/2006, deverão declarar no Sistema do Compras Gov no site </w:t>
      </w:r>
      <w:hyperlink r:id="rId10" w:history="1">
        <w:r>
          <w:rPr>
            <w:rStyle w:val="Hyperlink"/>
            <w:rFonts w:ascii="Cambria" w:hAnsi="Cambria" w:cstheme="minorHAnsi"/>
            <w:bCs/>
            <w:szCs w:val="24"/>
          </w:rPr>
          <w:t>www.compras.gov.br</w:t>
        </w:r>
      </w:hyperlink>
      <w:r>
        <w:rPr>
          <w:rFonts w:ascii="Cambria" w:hAnsi="Cambria" w:cstheme="minorHAnsi"/>
          <w:bCs/>
          <w:szCs w:val="24"/>
        </w:rPr>
        <w:t xml:space="preserve"> o exercício do direito de preferência previsto em Lei.</w:t>
      </w:r>
    </w:p>
    <w:p>
      <w:pPr>
        <w:pStyle w:val="Corpodetexto3"/>
        <w:numPr>
          <w:ilvl w:val="2"/>
          <w:numId w:val="5"/>
        </w:numPr>
        <w:tabs>
          <w:tab w:val="left" w:pos="709"/>
        </w:tabs>
        <w:ind w:left="0" w:firstLine="0"/>
        <w:jc w:val="both"/>
        <w:rPr>
          <w:rFonts w:ascii="Cambria" w:hAnsi="Cambria" w:cstheme="minorHAnsi"/>
          <w:szCs w:val="24"/>
        </w:rPr>
      </w:pPr>
      <w:r>
        <w:rPr>
          <w:rFonts w:ascii="Cambria" w:hAnsi="Cambria" w:cstheme="minorHAnsi"/>
          <w:szCs w:val="24"/>
        </w:rPr>
        <w:t>A Microempresa – ME ou Empresa de Pequeno Porte - EPP, caso contratada, será a responsável por solicitar seu desenquadramento da condição de Microempresa – ME ou Empresa de Pequeno Porte - EPP quando houver ultrapassado o limite de faturamento estabelecido no art. 3˚, da Lei Complementar n.º 123/2006 em razão da presente contratação.</w:t>
      </w:r>
    </w:p>
    <w:p>
      <w:pPr>
        <w:pStyle w:val="Corpodetexto3"/>
        <w:numPr>
          <w:ilvl w:val="2"/>
          <w:numId w:val="5"/>
        </w:numPr>
        <w:tabs>
          <w:tab w:val="left" w:pos="709"/>
        </w:tabs>
        <w:ind w:left="0" w:firstLine="0"/>
        <w:jc w:val="both"/>
        <w:rPr>
          <w:rFonts w:ascii="Cambria" w:hAnsi="Cambria" w:cstheme="minorHAnsi"/>
          <w:b/>
          <w:szCs w:val="24"/>
        </w:rPr>
      </w:pPr>
      <w:r>
        <w:rPr>
          <w:rFonts w:ascii="Cambria" w:hAnsi="Cambria" w:cstheme="minorHAnsi"/>
          <w:b/>
          <w:szCs w:val="24"/>
        </w:rPr>
        <w:t>A participação na licitação implica automaticamente na aceitação integral e irretratável dos termos e conteúdo deste edital e seus ANEXOS, a observância dos preceitos legais e regulamentos em vigor, ficando, desde já, responsável pela fidelidade e legitimidade das informações e dos documentos apresentados em qualquer fase da licitação, restando excluída a responsabilidade do provedor do sistema ou do órgão ou entidade promotora da licitação por eventuais danos decorrentes de uso indevido do acesso e manuseio do plataforma, ainda que por terceiros.</w:t>
      </w:r>
    </w:p>
    <w:p>
      <w:pPr>
        <w:shd w:val="clear" w:color="auto" w:fill="FFFFFF"/>
        <w:tabs>
          <w:tab w:val="left" w:pos="284"/>
        </w:tabs>
        <w:jc w:val="both"/>
        <w:rPr>
          <w:rFonts w:ascii="Cambria" w:hAnsi="Cambria" w:cstheme="minorHAnsi"/>
          <w:b/>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NÃO PODERÃO PARTICIPAR DESTA LICITAÇÃO: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 autor do anteprojeto, do projeto básico ou do projeto executivo, pessoa física ou jurídica, quando a licitação versar sobre obra, serviços ou fornecimento de bens a ele relacionados.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lastRenderedPageBreak/>
        <w:t>Empresas reunidas em consórcio;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Organizações da Sociedade Civil de Interesse Público - OSCIP, atuando nessa condição (Acórdão nº 746/2014-TCU-Plenário);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Instituições sem fins lucrativos, qualificadas na forma dos arts. 5º a 7º da Lei n.º 9.637/1998, exceto se o objeto desta licitação se inserir entre as atividades previstas no contrato de gestão firmado entre o Poder Público e a organização social (Acórdão n.º 1.406/2017- TCU-Plenário).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 xml:space="preserve">Pessoa jurídica que se encontre, ao tempo da licitação, impossibilitada de participar da licitação em decorrência de sanção de suspensão temporária de participação em licitação, impedimento de contratar com a Prefeitura Municipal de Miraíma/CE, tenham sido declaradas inidôneas e estejam impedidas de licitar ou contratar com a Administração Pública Federal, Estadual e Municipal, que estejam cadastradas positivamente no </w:t>
      </w:r>
      <w:r>
        <w:rPr>
          <w:rFonts w:ascii="Cambria" w:hAnsi="Cambria" w:cstheme="minorHAnsi"/>
          <w:szCs w:val="24"/>
        </w:rPr>
        <w:t>Sistema de Cadastramento Unificado de Fornecedores (SICAF), no cadastro Consolidado de Pessoa Jurídica do TCU, no Cadastro Nacional de Empresas Inidôneas (CEIS), no Cadastro Nacional de Empresas Punidas (CNEP)</w:t>
      </w:r>
      <w:r>
        <w:rPr>
          <w:rFonts w:ascii="Cambria" w:hAnsi="Cambria" w:cstheme="minorHAnsi"/>
          <w:bCs/>
          <w:szCs w:val="24"/>
        </w:rPr>
        <w:t>.</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controladoras, controladas ou coligadas, nos termos da Lei nº 6.404, de 15 de dezembro de 1976, concorrendo entre si;</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Que não tenham providenciado o credenciamento junto a plataforma eletrônica de julgamento.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Que tenham em comum mesmo preposto ou procurador.</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Os interessados que se encontrem em processo de falência decretada ou em processo de dissolução, de fusão, de cisão ou de incorporação.</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É permitida a participação de empresa em condição de recuperação judicial desde que amparada em certidão emitida pela instância judicial competente, que certifique que a interessada está apta econômica e financeiramente a participar de procedimento licitatório nos termos do acórdão nº 1.201/2020 do TCU.</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cujos dirigentes, gerentes, sócios ou componentes de seu quadro técnico sejam funcionários ou empregados públicos da Administração Pública Municipal Direta ou Indireta.</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Estrangeiras não autorizadas a funcionar no País.</w:t>
      </w:r>
    </w:p>
    <w:p>
      <w:pPr>
        <w:pStyle w:val="Corpodetexto3"/>
        <w:numPr>
          <w:ilvl w:val="2"/>
          <w:numId w:val="5"/>
        </w:numPr>
        <w:ind w:left="0" w:firstLine="0"/>
        <w:jc w:val="both"/>
        <w:rPr>
          <w:rFonts w:ascii="Cambria" w:hAnsi="Cambria" w:cstheme="minorHAnsi"/>
          <w:bCs/>
          <w:szCs w:val="24"/>
        </w:rPr>
      </w:pPr>
      <w:r>
        <w:rPr>
          <w:rFonts w:ascii="Cambria" w:hAnsi="Cambria" w:cstheme="minorHAnsi"/>
          <w:bCs/>
          <w:szCs w:val="24"/>
        </w:rPr>
        <w:t>Empresas cujo objeto social não seja pertinente e compatível com o objeto desta licitação.</w:t>
      </w:r>
    </w:p>
    <w:p>
      <w:pPr>
        <w:pStyle w:val="Ttulo1"/>
        <w:numPr>
          <w:ilvl w:val="0"/>
          <w:numId w:val="0"/>
        </w:numPr>
        <w:rPr>
          <w:rFonts w:ascii="Cambria" w:hAnsi="Cambria" w:cstheme="minorHAnsi"/>
          <w:sz w:val="24"/>
          <w:szCs w:val="24"/>
        </w:rPr>
      </w:pPr>
    </w:p>
    <w:p>
      <w:pPr>
        <w:pStyle w:val="Ttulo1"/>
        <w:ind w:left="0" w:firstLine="0"/>
        <w:rPr>
          <w:rFonts w:ascii="Cambria" w:hAnsi="Cambria" w:cstheme="minorHAnsi"/>
          <w:sz w:val="24"/>
          <w:szCs w:val="24"/>
        </w:rPr>
      </w:pPr>
      <w:bookmarkStart w:id="21" w:name="_Toc161741800"/>
      <w:bookmarkStart w:id="22" w:name="_Toc164093659"/>
      <w:r>
        <w:rPr>
          <w:rFonts w:ascii="Cambria" w:hAnsi="Cambria" w:cstheme="minorHAnsi"/>
          <w:sz w:val="24"/>
          <w:szCs w:val="24"/>
        </w:rPr>
        <w:t>DISPOSIÇÕES DE OBSERVÂNCIA OBRIGATÓRIA PELO PROPONENTE NO CURSO NO PROCEDIMENTO LICITATÓRIO.</w:t>
      </w:r>
      <w:bookmarkEnd w:id="21"/>
      <w:bookmarkEnd w:id="22"/>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proponente interessado na participação da presente licitação fica OBRIGADO a:</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Responsabilizar-se pela proposta, declarações, documentos e demais informações cadastradas ou anexadas a plataforma eletrônica “COMPRAS GOV”, no site </w:t>
      </w:r>
      <w:hyperlink r:id="rId11" w:history="1">
        <w:r>
          <w:rPr>
            <w:rStyle w:val="Hyperlink"/>
            <w:rFonts w:ascii="Cambria" w:hAnsi="Cambria" w:cstheme="minorHAnsi"/>
            <w:sz w:val="24"/>
            <w:szCs w:val="24"/>
          </w:rPr>
          <w:t>www.compras.gov.br</w:t>
        </w:r>
      </w:hyperlink>
      <w:r>
        <w:rPr>
          <w:rFonts w:ascii="Cambria" w:hAnsi="Cambria" w:cstheme="minorHAnsi"/>
          <w:sz w:val="24"/>
          <w:szCs w:val="24"/>
        </w:rPr>
        <w:t xml:space="preserve"> </w:t>
      </w:r>
      <w:r>
        <w:rPr>
          <w:rFonts w:ascii="Cambria" w:hAnsi="Cambria" w:cstheme="minorHAnsi"/>
          <w:sz w:val="24"/>
          <w:szCs w:val="24"/>
        </w:rPr>
        <w:lastRenderedPageBreak/>
        <w:t>bem como pelos registros realizados no CHAT durante o processamento e julgamento do certame;</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Realizar as declarações eletrônicas exigidas no cadastro da proposta na plataforma eletrônica “COMPRAS GOV”, sem qualquer falseamento da verdade;</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Remeter, no prazo estabelecido, EXCLUSIVAMENTE VIA SISTEMA, os documentos de habilitação, a proposta e, quando necessário, os documentos complementares solicitados no presente Edital e seus ANEXOS;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Manter-se logado (online) ao “COMPRAS GOV”, acompanhando os trabalhos de processamento do certame durante toda a Sessão Pública Eletrônica, atendendo tempestivamente aos chamados do Pregoeiro via CHAT;</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Cumprir integralmente a proposta comercial cadastrada ou o lance final registrado no “COMPRAS GOV”;</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fazer declaração falsa ou não apresentar documento falso;</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cometer fraude fiscal;</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formar conluio ou combinar proposta com concorrente(s);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fraudar ou frustrar a concorrência com utilização de mecanismos eletrônicos de registro de propostas, lances e/ou documentos;</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indicar, para fins de garantia do anonimato da fase competitiva, qualquer tipo de caractere especial identificador da empresa no cadastro da proposta eletrônica no “COMPRAS GOV”;</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Manter atualizadas todas as informações da empresa no SICAF que possam facilitar a comunicação, particularmente telefones e e-mail;</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praticar qualquer ato lesivo à Administração Pública contido no art. 5º da Lei nº 12.846/2013.</w:t>
      </w:r>
    </w:p>
    <w:p>
      <w:pPr>
        <w:pStyle w:val="PargrafodaLista"/>
        <w:numPr>
          <w:ilvl w:val="0"/>
          <w:numId w:val="7"/>
        </w:numPr>
        <w:tabs>
          <w:tab w:val="left" w:pos="426"/>
        </w:tabs>
        <w:ind w:left="0" w:firstLine="0"/>
        <w:jc w:val="both"/>
        <w:rPr>
          <w:rFonts w:ascii="Cambria" w:hAnsi="Cambria" w:cstheme="minorHAnsi"/>
          <w:sz w:val="24"/>
          <w:szCs w:val="24"/>
        </w:rPr>
      </w:pPr>
      <w:r>
        <w:rPr>
          <w:rFonts w:ascii="Cambria" w:hAnsi="Cambria" w:cstheme="minorHAnsi"/>
          <w:sz w:val="24"/>
          <w:szCs w:val="24"/>
        </w:rPr>
        <w:t>Não se enquadrar em nenhuma das proibições indicadas nas alíneas do item 3.2 deste Edital.</w:t>
      </w:r>
    </w:p>
    <w:p>
      <w:pPr>
        <w:pStyle w:val="PargrafodaLista"/>
        <w:tabs>
          <w:tab w:val="left" w:pos="284"/>
        </w:tabs>
        <w:ind w:left="0"/>
        <w:jc w:val="both"/>
        <w:rPr>
          <w:rFonts w:ascii="Cambria" w:hAnsi="Cambria" w:cstheme="minorHAnsi"/>
          <w:b/>
          <w:bCs/>
          <w:sz w:val="24"/>
          <w:szCs w:val="24"/>
        </w:rPr>
      </w:pPr>
    </w:p>
    <w:p>
      <w:pPr>
        <w:pStyle w:val="Ttulo1"/>
        <w:ind w:left="0" w:firstLine="0"/>
        <w:rPr>
          <w:rFonts w:ascii="Cambria" w:hAnsi="Cambria" w:cstheme="minorHAnsi"/>
          <w:sz w:val="24"/>
          <w:szCs w:val="24"/>
        </w:rPr>
      </w:pPr>
      <w:bookmarkStart w:id="23" w:name="_Toc161741801"/>
      <w:bookmarkStart w:id="24" w:name="_Toc164093660"/>
      <w:r>
        <w:rPr>
          <w:rFonts w:ascii="Cambria" w:hAnsi="Cambria" w:cstheme="minorHAnsi"/>
          <w:sz w:val="24"/>
          <w:szCs w:val="24"/>
        </w:rPr>
        <w:t>DO CREDENCIAMENTO DO PROPONENTE NA PLATAFORMA ELETRÔNICA.</w:t>
      </w:r>
      <w:bookmarkEnd w:id="23"/>
      <w:bookmarkEnd w:id="24"/>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interessados aptos à participação do presente procedimento licitatório deverão providenciar o cadastramento do proponente junto ao aplicativo “COMPRAS GOV”, no site </w:t>
      </w:r>
      <w:hyperlink r:id="rId12" w:history="1">
        <w:r>
          <w:rPr>
            <w:rStyle w:val="Hyperlink"/>
            <w:rFonts w:ascii="Cambria" w:hAnsi="Cambria" w:cstheme="minorHAnsi"/>
            <w:sz w:val="24"/>
            <w:szCs w:val="24"/>
          </w:rPr>
          <w:t>www.compras.gov.br</w:t>
        </w:r>
      </w:hyperlink>
      <w:r>
        <w:rPr>
          <w:rFonts w:ascii="Cambria" w:hAnsi="Cambria" w:cstheme="minorHAnsi"/>
          <w:sz w:val="24"/>
          <w:szCs w:val="24"/>
        </w:rPr>
        <w:t xml:space="preserve"> constante da página eletrônica do Compras Gov, ou diretamente no site www.compras.gov.br.</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Credenciamento junto ao Compras Gov no site </w:t>
      </w:r>
      <w:hyperlink r:id="rId13" w:history="1">
        <w:r>
          <w:rPr>
            <w:rStyle w:val="Hyperlink"/>
            <w:rFonts w:ascii="Cambria" w:hAnsi="Cambria" w:cstheme="minorHAnsi"/>
            <w:sz w:val="24"/>
            <w:szCs w:val="24"/>
          </w:rPr>
          <w:t>www.compras.gov.br</w:t>
        </w:r>
      </w:hyperlink>
      <w:r>
        <w:rPr>
          <w:rFonts w:ascii="Cambria" w:hAnsi="Cambria" w:cstheme="minorHAnsi"/>
          <w:sz w:val="24"/>
          <w:szCs w:val="24"/>
        </w:rPr>
        <w:t xml:space="preserve"> que permite a participação dos interessados na modalidade licitatória Pregão, em sua forma eletrônica.</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credenciamento junto ao provedor do sistema implica a responsabilidade do proponente ou de seu representante legal e a presunção de sua capacidade técnica para realização das transações inerentes a este Pregão.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uso da senha de acesso pelo proponente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perda da senha ou a quebra de sigilo deverão ser comunicadas imediatamente ao provedor do sistema para imediato bloqueio de acesso.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É de exclusiva responsabilidade do usuário o sigilo da senha, bem como seu uso em qualquer transação efetuada diretamente ou por seu representante, não cabendo à </w:t>
      </w:r>
      <w:r>
        <w:rPr>
          <w:rFonts w:ascii="Cambria" w:hAnsi="Cambria" w:cstheme="minorHAnsi"/>
          <w:b/>
          <w:bCs/>
          <w:sz w:val="24"/>
          <w:szCs w:val="24"/>
        </w:rPr>
        <w:t xml:space="preserve">PREFEITURA </w:t>
      </w:r>
      <w:r>
        <w:rPr>
          <w:rFonts w:ascii="Cambria" w:hAnsi="Cambria" w:cstheme="minorHAnsi"/>
          <w:b/>
          <w:bCs/>
          <w:sz w:val="24"/>
          <w:szCs w:val="24"/>
        </w:rPr>
        <w:lastRenderedPageBreak/>
        <w:t xml:space="preserve">MUNICIPAL DE MIRAÍMA/CE </w:t>
      </w:r>
      <w:r>
        <w:rPr>
          <w:rFonts w:ascii="Cambria" w:hAnsi="Cambria" w:cstheme="minorHAnsi"/>
          <w:sz w:val="24"/>
          <w:szCs w:val="24"/>
        </w:rPr>
        <w:t xml:space="preserve">ou ao Compras Gov no site </w:t>
      </w:r>
      <w:hyperlink r:id="rId14" w:history="1">
        <w:r>
          <w:rPr>
            <w:rStyle w:val="Hyperlink"/>
            <w:rFonts w:ascii="Cambria" w:hAnsi="Cambria" w:cstheme="minorHAnsi"/>
            <w:sz w:val="24"/>
            <w:szCs w:val="24"/>
          </w:rPr>
          <w:t>www.compras.gov.br</w:t>
        </w:r>
      </w:hyperlink>
      <w:r>
        <w:rPr>
          <w:rFonts w:ascii="Cambria" w:hAnsi="Cambria" w:cstheme="minorHAnsi"/>
          <w:sz w:val="24"/>
          <w:szCs w:val="24"/>
        </w:rPr>
        <w:t xml:space="preserve"> a responsabilidade por eventuais danos decorrentes do seu uso indevido, ainda que por terceiros.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credenciamento do fornecedor e de seu representante legal na plataforma eletrônica implica a responsabilidade legal pelos atos praticados e a presunção de capacidade técnica para realização das transações inerentes ao pregão eletrônico. </w:t>
      </w:r>
    </w:p>
    <w:p>
      <w:pPr>
        <w:tabs>
          <w:tab w:val="left" w:pos="2184"/>
        </w:tabs>
        <w:jc w:val="both"/>
        <w:rPr>
          <w:rFonts w:ascii="Cambria" w:hAnsi="Cambria" w:cstheme="minorHAnsi"/>
          <w:sz w:val="24"/>
          <w:szCs w:val="24"/>
        </w:rPr>
      </w:pPr>
      <w:r>
        <w:rPr>
          <w:rFonts w:ascii="Cambria" w:hAnsi="Cambria" w:cstheme="minorHAnsi"/>
          <w:sz w:val="24"/>
          <w:szCs w:val="24"/>
        </w:rPr>
        <w:tab/>
      </w:r>
    </w:p>
    <w:p>
      <w:pPr>
        <w:pStyle w:val="Ttulo1"/>
        <w:ind w:left="0" w:firstLine="0"/>
        <w:rPr>
          <w:rFonts w:ascii="Cambria" w:hAnsi="Cambria" w:cstheme="minorHAnsi"/>
          <w:sz w:val="24"/>
          <w:szCs w:val="24"/>
        </w:rPr>
      </w:pPr>
      <w:bookmarkStart w:id="25" w:name="_Toc161741802"/>
      <w:bookmarkStart w:id="26" w:name="_Toc164093661"/>
      <w:r>
        <w:rPr>
          <w:rFonts w:ascii="Cambria" w:hAnsi="Cambria" w:cstheme="minorHAnsi"/>
          <w:sz w:val="24"/>
          <w:szCs w:val="24"/>
        </w:rPr>
        <w:t>PARÂMETROS DOS DOCUMENTOS A SEREM APRESENTADOS NO PROCEDIMENTO.</w:t>
      </w:r>
      <w:bookmarkEnd w:id="25"/>
      <w:bookmarkEnd w:id="26"/>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Obrigatoriamente, os documentos deverão ser da mesma sede e igualdade de CNPJ, ou seja, se da matriz, todos da matriz, se de alguma filial, todos da mesma filial, com exceção dos documentos que são válidos tanto para matriz como para todas as filiais. O contrato será celebrado com a sede que apresentou a documentação.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Cada proponente deverá apresentar através do sistema Compras Gov no site </w:t>
      </w:r>
      <w:hyperlink r:id="rId15" w:history="1">
        <w:r>
          <w:rPr>
            <w:rStyle w:val="Hyperlink"/>
            <w:rFonts w:ascii="Cambria" w:hAnsi="Cambria" w:cstheme="minorHAnsi"/>
            <w:sz w:val="24"/>
            <w:szCs w:val="24"/>
          </w:rPr>
          <w:t>www.compras.gov.br</w:t>
        </w:r>
      </w:hyperlink>
      <w:r>
        <w:rPr>
          <w:rFonts w:ascii="Cambria" w:hAnsi="Cambria" w:cstheme="minorHAnsi"/>
          <w:sz w:val="24"/>
          <w:szCs w:val="24"/>
        </w:rPr>
        <w:t xml:space="preserve"> os documentos exigidos inicialmente por meio da internet, sendo:</w:t>
      </w:r>
    </w:p>
    <w:p>
      <w:pPr>
        <w:pStyle w:val="WW-NormalWeb"/>
        <w:keepLines/>
        <w:widowControl w:val="0"/>
        <w:spacing w:before="0" w:after="0"/>
        <w:ind w:firstLine="708"/>
        <w:jc w:val="both"/>
        <w:rPr>
          <w:rFonts w:ascii="Cambria" w:hAnsi="Cambria" w:cstheme="minorHAnsi"/>
          <w:szCs w:val="24"/>
        </w:rPr>
      </w:pPr>
      <w:r>
        <w:rPr>
          <w:rFonts w:ascii="Cambria" w:hAnsi="Cambria" w:cstheme="minorHAnsi"/>
          <w:szCs w:val="24"/>
        </w:rPr>
        <w:t>a) a Proposta de Preços e seus ANEXOS;</w:t>
      </w:r>
    </w:p>
    <w:p>
      <w:pPr>
        <w:pStyle w:val="WW-NormalWeb"/>
        <w:keepLines/>
        <w:widowControl w:val="0"/>
        <w:spacing w:before="0" w:after="0"/>
        <w:ind w:left="708"/>
        <w:jc w:val="both"/>
        <w:rPr>
          <w:rFonts w:ascii="Cambria" w:hAnsi="Cambria" w:cstheme="minorHAnsi"/>
          <w:szCs w:val="24"/>
        </w:rPr>
      </w:pPr>
      <w:r>
        <w:rPr>
          <w:rFonts w:ascii="Cambria" w:hAnsi="Cambria" w:cstheme="minorHAnsi"/>
          <w:szCs w:val="24"/>
        </w:rPr>
        <w:t>b) os Documentos de Habilitação;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documentos, em formato de arquivo, a serem enviados via internet somente poderão ter as extensões *.doc, *.xls, ou *.pdf.</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documentos comprovadamente apresentados em formato corrompido ou incompatível com a versão sistêmica operada, poderão ser solicitados mediante nova anexação, por parte do Pregoeiro, ficando a critério deste(a), de acordo com o caso concreto, realizar tal solicitação, a fim de que se façam as elucidações necessárias ao pleno julgamento.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É dever da proponente atualizar previamente os documentos constantes no SICAF para que estejam vigentes na data da abertura da sessão pública, ou encaminhar, em conjunto com a apresentação da proposta, a respectiva documentação atualizada.</w:t>
      </w:r>
    </w:p>
    <w:p>
      <w:pPr>
        <w:jc w:val="right"/>
        <w:rPr>
          <w:rFonts w:ascii="Cambria" w:hAnsi="Cambria" w:cstheme="minorHAnsi"/>
          <w:b/>
          <w:bCs/>
          <w:color w:val="FF0000"/>
          <w:sz w:val="24"/>
          <w:szCs w:val="24"/>
        </w:rPr>
      </w:pPr>
    </w:p>
    <w:p>
      <w:pPr>
        <w:pStyle w:val="Ttulo1"/>
        <w:ind w:left="0" w:firstLine="0"/>
        <w:rPr>
          <w:rFonts w:ascii="Cambria" w:hAnsi="Cambria" w:cstheme="minorHAnsi"/>
          <w:sz w:val="24"/>
          <w:szCs w:val="24"/>
        </w:rPr>
      </w:pPr>
      <w:bookmarkStart w:id="27" w:name="_Toc161741803"/>
      <w:bookmarkStart w:id="28" w:name="_Toc164093662"/>
      <w:r>
        <w:rPr>
          <w:rFonts w:ascii="Cambria" w:hAnsi="Cambria" w:cstheme="minorHAnsi"/>
          <w:sz w:val="24"/>
          <w:szCs w:val="24"/>
        </w:rPr>
        <w:t>DA PROPOSTA DE PREÇOS</w:t>
      </w:r>
      <w:bookmarkEnd w:id="27"/>
      <w:bookmarkEnd w:id="28"/>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FORMALIDADES QUANTO 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Proposta de Preços, sob pena de desclassificação, deverá ser elaborada conforme o anexo 02 deste instrumento, em papel timbrado da proponente, estando, ainda, devidamente assinada e sendo enviada exclusivamente por meio da plataforma do Compras Gov no site </w:t>
      </w:r>
      <w:hyperlink r:id="rId16" w:history="1">
        <w:r>
          <w:rPr>
            <w:rStyle w:val="Hyperlink"/>
            <w:rFonts w:ascii="Cambria" w:hAnsi="Cambria" w:cstheme="minorHAnsi"/>
            <w:sz w:val="24"/>
            <w:szCs w:val="24"/>
          </w:rPr>
          <w:t>www.compras.gov.br</w:t>
        </w:r>
      </w:hyperlink>
      <w:r>
        <w:rPr>
          <w:rFonts w:ascii="Cambria" w:hAnsi="Cambria" w:cstheme="minorHAnsi"/>
          <w:sz w:val="24"/>
          <w:szCs w:val="24"/>
        </w:rPr>
        <w:t xml:space="preserve">  caracterizando o item proposto no campo discriminado, em conformidade com o Termo de Referência – anexo 01 do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proposta de preços (inicial) servirá para fins de verificação das condições da proposta, bem como, para realização de comparativo ante a proposta de preços final (consolidada), o qual, encontrada divergência entre as mesmas, salvo quanto a redução dos preços em virtude dos lances ou de melhor oferta, a proponente será desclassificada.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É de inteira responsabilidade da proponente a inclusão dos arquivos os quais possuam compatibilidade com os sistemas operacionais convencionais. Caso a proposta de preços seja apresentada em arquivo corrompido, observando as disposições excetuadas no item 6.4 deste edital, a proponente será desclassificada.</w:t>
      </w:r>
    </w:p>
    <w:p>
      <w:pPr>
        <w:jc w:val="both"/>
        <w:rPr>
          <w:rFonts w:ascii="Cambria" w:hAnsi="Cambria" w:cstheme="minorHAnsi"/>
          <w:bCs/>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DO CADASTRAMENTO DA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participação neste certame licitatório dar-se-á pela utilização da senha de acesso individual a plataforma eletrônica Compras Gov no site </w:t>
      </w:r>
      <w:hyperlink r:id="rId17" w:history="1">
        <w:r>
          <w:rPr>
            <w:rStyle w:val="Hyperlink"/>
            <w:rFonts w:ascii="Cambria" w:hAnsi="Cambria" w:cstheme="minorHAnsi"/>
            <w:sz w:val="24"/>
            <w:szCs w:val="24"/>
          </w:rPr>
          <w:t>www.compras.gov.br</w:t>
        </w:r>
      </w:hyperlink>
      <w:r>
        <w:rPr>
          <w:rFonts w:ascii="Cambria" w:hAnsi="Cambria" w:cstheme="minorHAnsi"/>
          <w:sz w:val="24"/>
          <w:szCs w:val="24"/>
        </w:rPr>
        <w:t xml:space="preserve"> de cada </w:t>
      </w:r>
      <w:r>
        <w:rPr>
          <w:rFonts w:ascii="Cambria" w:hAnsi="Cambria" w:cstheme="minorHAnsi"/>
          <w:sz w:val="24"/>
          <w:szCs w:val="24"/>
        </w:rPr>
        <w:lastRenderedPageBreak/>
        <w:t>proponente, mediante prévio cadastro da proposta até a data e horário previstos para abertura da sessão do certame.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Nos termos do art. 63, da Lei 14.133/2021, o proponente DEVERÁ, OBRIGATÓRIA E PREVIAMENTE, registrar sua proposta de preços (inicial) na plataforma do Compras Gov no site </w:t>
      </w:r>
      <w:hyperlink r:id="rId18" w:history="1">
        <w:r>
          <w:rPr>
            <w:rStyle w:val="Hyperlink"/>
            <w:rFonts w:ascii="Cambria" w:hAnsi="Cambria" w:cstheme="minorHAnsi"/>
            <w:sz w:val="24"/>
            <w:szCs w:val="24"/>
          </w:rPr>
          <w:t>www.compras.gov.br</w:t>
        </w:r>
      </w:hyperlink>
      <w:r>
        <w:rPr>
          <w:rFonts w:ascii="Cambria" w:hAnsi="Cambria" w:cstheme="minorHAnsi"/>
          <w:sz w:val="24"/>
          <w:szCs w:val="24"/>
        </w:rPr>
        <w:t xml:space="preserve"> como também ANEXAR o arquivo correspondente a proposta (juntamente com os documentos e informações técnicas de comprovação da qualidade do objeto proposto, casos sejam exigidos no Termo de Referência), até a data e horário marcados para abertura da sessão.</w:t>
      </w:r>
    </w:p>
    <w:p>
      <w:pPr>
        <w:pStyle w:val="PargrafodaLista"/>
        <w:tabs>
          <w:tab w:val="left" w:pos="426"/>
        </w:tabs>
        <w:ind w:left="0"/>
        <w:jc w:val="both"/>
        <w:rPr>
          <w:rFonts w:ascii="Cambria" w:hAnsi="Cambria" w:cstheme="minorHAnsi"/>
          <w:b/>
          <w:bCs/>
          <w:sz w:val="24"/>
          <w:szCs w:val="24"/>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OBSERVAÇÃO:</w:t>
      </w:r>
      <w:r>
        <w:rPr>
          <w:rFonts w:ascii="Cambria" w:hAnsi="Cambria" w:cstheme="minorHAnsi"/>
          <w:sz w:val="24"/>
          <w:szCs w:val="24"/>
        </w:rPr>
        <w:t xml:space="preserve"> RECOMENDA-SE que também seja anexada no Compras Gov no site </w:t>
      </w:r>
      <w:hyperlink r:id="rId19" w:history="1">
        <w:r>
          <w:rPr>
            <w:rStyle w:val="Hyperlink"/>
            <w:rFonts w:ascii="Cambria" w:hAnsi="Cambria" w:cstheme="minorHAnsi"/>
            <w:sz w:val="24"/>
            <w:szCs w:val="24"/>
          </w:rPr>
          <w:t>www.compras.gov.br</w:t>
        </w:r>
      </w:hyperlink>
      <w:r>
        <w:rPr>
          <w:rFonts w:ascii="Cambria" w:hAnsi="Cambria" w:cstheme="minorHAnsi"/>
          <w:sz w:val="24"/>
          <w:szCs w:val="24"/>
        </w:rPr>
        <w:t xml:space="preserve"> juntamente com a proposta de preços inicial (em campo específico), todos os DOCUMENTOS DE HABILITAÇÃO (em campo específico) exigidos para fins de julgamento do certame, observadas as exigências contidas no edital.</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Serão disponibilizados para acesso público os documentos que compõem a proposta dos licitantes convocados para apresentação de propostas, após a fase de envio de lances.</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Até a abertura da sessão do certame, o proponente poderá livremente retirar, alterar ou substituir a proposta anteriormente cadastrada, como também excluir ou anexar novos documentos relativos à proposta comercial e/ou habilitação. </w:t>
      </w:r>
      <w:r>
        <w:rPr>
          <w:rFonts w:ascii="Cambria" w:hAnsi="Cambria" w:cstheme="minorHAnsi"/>
          <w:b/>
          <w:bCs/>
          <w:sz w:val="24"/>
          <w:szCs w:val="24"/>
          <w:u w:val="single"/>
        </w:rPr>
        <w:t>Depois da data e horário de abertura da Sessão, não caberá qualquer alteração ou desistência de proposta.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Nenhuma proposta comercial ou documentação de habilitação poderá ser encaminhada ao Pregoeiro por e-mail ou outro meio de comunicação antes do encerramento da etapa competitiva, sob pena de quebra do anonimato da competição e consequente desclassificação.</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Na etapa de apresentação da proposta e dos documentos de habilitação pelo proponente, observado o disposto no caput, não haverá ordem de classificação das propostas, o que ocorrerá somente após os procedimentos de julgamento.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proponente deverá consignar diretamente no Sistema, na forma nele disposta, além da descrição sucinta do objeto a ser fornecido, inclusive com indicação de marca, modelo e fabricação (se for o caso), a quantidade e os valores unitários e total do objeto proposto, já inclusas todas as despesas inerentes, tais como: impostos, taxas, fretes, seguros e demais encargos, de qualquer natureza, que se façam indispensáveis à perfeita execução do objeto.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Não poderá ser incluído no registro da proposta eletrônica diretamente no Compras Gov no site </w:t>
      </w:r>
      <w:hyperlink r:id="rId20" w:history="1">
        <w:r>
          <w:rPr>
            <w:rStyle w:val="Hyperlink"/>
            <w:rFonts w:ascii="Cambria" w:hAnsi="Cambria" w:cstheme="minorHAnsi"/>
            <w:sz w:val="24"/>
            <w:szCs w:val="24"/>
          </w:rPr>
          <w:t>www.compras.gov.br</w:t>
        </w:r>
      </w:hyperlink>
      <w:r>
        <w:rPr>
          <w:rFonts w:ascii="Cambria" w:hAnsi="Cambria" w:cstheme="minorHAnsi"/>
          <w:sz w:val="24"/>
          <w:szCs w:val="24"/>
        </w:rPr>
        <w:t xml:space="preserve"> qualquer nome, texto, elemento ou caractere que possa identificar o proponente, sob pena de DESCLASSIFICAÇÃO da proposta e aplicação de SANÇÃO ADMINISTRATIVA.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No momento do cadastro da proposta comercial deverá o proponente anexar a respectiva proposta de preços (inicial) e a documentação de habilitação, se for o caso, bem como, realizar as seguintes DECLARAÇÕES ELETRÔNICAS, disponíveis no próprio Sistema (conforme o caso):</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não emprega menor de 18 anos em trabalho noturno, perigoso ou insalubre, e não emprega menor de 16 anos, salvo, a partir de 14 anos, na condição de aprendiz, nos termos do inciso XXXIII, do art. 7º da Constituição Federal;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não possui, em sua cadeia produtiva, empregados executando trabalho degradante ou forçado, observando o disposto nos incisos III e IV do art. 1º e no inciso III do art. 5º da Constituição Federal;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lastRenderedPageBreak/>
        <w:t>Que está ciente e concorda com as condições contidas no Edital e seus ANEXOS, bem como de que cumpre plenamente os requisitos de habilitação definidos no edital;</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até a presente data inexistem fatos impeditivos para a habilitação no presente processo licitatório, ciente da obrigatoriedade de declarar ocorrências posteriores;</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a proposta foi elaborada de forma independente, nos termos da Instrução Normativa SLTI/MP nº 2, de 16 de setembro de 2009;</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No caso de Microempresa - ME, Empresas de Pequeno Porte - EPP e equiparadas, que atende aos requisitos do art. 3º da LC nº 123/2006, para fazer jus aos benefícios previstos nessa lei;</w:t>
      </w:r>
    </w:p>
    <w:p>
      <w:pPr>
        <w:pStyle w:val="PargrafodaLista"/>
        <w:numPr>
          <w:ilvl w:val="2"/>
          <w:numId w:val="8"/>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Que o objeto será executado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As declarações mencionadas no subitem anterior serão visualizadas pelo Pregoeiro na fase de habilitação, quando serão anexadas aos autos do processo de contratação juntamente com a documentação de habilitação, não havendo necessidade de envio dos arquivos pelo Sistema Compras Gov no site 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falsidade relativa a qualquer das declarações exigidas no item anterior sujeitará o proponente às sanções administrativas previstas no item 15 deste Edital, sem prejuízo das consequências civis e penais que seu ato ensejar.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Para cadastramento da proposta no sistema Compras Gov no site </w:t>
      </w:r>
      <w:hyperlink r:id="rId21" w:history="1">
        <w:r>
          <w:rPr>
            <w:rStyle w:val="Hyperlink"/>
            <w:rFonts w:ascii="Cambria" w:hAnsi="Cambria" w:cstheme="minorHAnsi"/>
            <w:sz w:val="24"/>
            <w:szCs w:val="24"/>
          </w:rPr>
          <w:t>www.compras.gov.br</w:t>
        </w:r>
      </w:hyperlink>
      <w:r>
        <w:rPr>
          <w:rFonts w:ascii="Cambria" w:hAnsi="Cambria" w:cstheme="minorHAnsi"/>
          <w:sz w:val="24"/>
          <w:szCs w:val="24"/>
        </w:rPr>
        <w:t xml:space="preserve"> o licitante deverá se ater ao critério de julgamento definido ao presente certame, conforme definição no quadro de resumo constante do início deste edital, podendo ser:  </w:t>
      </w:r>
    </w:p>
    <w:p>
      <w:pPr>
        <w:pStyle w:val="PargrafodaLista"/>
        <w:numPr>
          <w:ilvl w:val="3"/>
          <w:numId w:val="5"/>
        </w:numPr>
        <w:tabs>
          <w:tab w:val="left" w:pos="426"/>
          <w:tab w:val="left" w:pos="851"/>
        </w:tabs>
        <w:ind w:left="0" w:firstLine="0"/>
        <w:jc w:val="both"/>
        <w:rPr>
          <w:rFonts w:ascii="Cambria" w:hAnsi="Cambria" w:cstheme="minorHAnsi"/>
          <w:sz w:val="24"/>
          <w:szCs w:val="24"/>
        </w:rPr>
      </w:pPr>
      <w:r>
        <w:rPr>
          <w:rFonts w:ascii="Cambria" w:hAnsi="Cambria" w:cstheme="minorHAnsi"/>
          <w:sz w:val="24"/>
          <w:szCs w:val="24"/>
        </w:rPr>
        <w:t xml:space="preserve">Para cadastramento da proposta e para a oferta dos lances no sistema Compras Gov no site </w:t>
      </w:r>
      <w:hyperlink r:id="rId22" w:history="1">
        <w:r>
          <w:rPr>
            <w:rStyle w:val="Hyperlink"/>
            <w:rFonts w:ascii="Cambria" w:hAnsi="Cambria" w:cstheme="minorHAnsi"/>
            <w:sz w:val="24"/>
            <w:szCs w:val="24"/>
          </w:rPr>
          <w:t>www.compras.gov.br</w:t>
        </w:r>
      </w:hyperlink>
      <w:r>
        <w:rPr>
          <w:rFonts w:ascii="Cambria" w:hAnsi="Cambria" w:cstheme="minorHAnsi"/>
          <w:sz w:val="24"/>
          <w:szCs w:val="24"/>
        </w:rPr>
        <w:t xml:space="preserve"> o licitante deverá se ater ao critério de julgamento definido ao presente certame, conforme definição no quadro de resumo constante do início deste edital, podendo o julgamento ser realizado </w:t>
      </w:r>
      <w:r>
        <w:rPr>
          <w:rFonts w:ascii="Cambria" w:hAnsi="Cambria" w:cstheme="minorHAnsi"/>
          <w:b/>
          <w:bCs/>
          <w:sz w:val="24"/>
          <w:szCs w:val="24"/>
        </w:rPr>
        <w:t xml:space="preserve">POR LOTE </w:t>
      </w:r>
      <w:r>
        <w:rPr>
          <w:rFonts w:ascii="Cambria" w:hAnsi="Cambria" w:cstheme="minorHAnsi"/>
          <w:sz w:val="24"/>
          <w:szCs w:val="24"/>
        </w:rPr>
        <w:t xml:space="preserve">ou </w:t>
      </w:r>
      <w:r>
        <w:rPr>
          <w:rFonts w:ascii="Cambria" w:hAnsi="Cambria" w:cstheme="minorHAnsi"/>
          <w:b/>
          <w:bCs/>
          <w:sz w:val="24"/>
          <w:szCs w:val="24"/>
        </w:rPr>
        <w:t>POR ITEM</w:t>
      </w:r>
      <w:r>
        <w:rPr>
          <w:rFonts w:ascii="Cambria" w:hAnsi="Cambria" w:cstheme="minorHAnsi"/>
          <w:sz w:val="24"/>
          <w:szCs w:val="24"/>
        </w:rPr>
        <w:t xml:space="preserve">. Em ambos os casos, ao oferecer proposta e ofertar os lances no sistema Compras Gov no site </w:t>
      </w:r>
      <w:hyperlink r:id="rId23" w:history="1">
        <w:r>
          <w:rPr>
            <w:rStyle w:val="Hyperlink"/>
            <w:rFonts w:ascii="Cambria" w:hAnsi="Cambria" w:cstheme="minorHAnsi"/>
            <w:sz w:val="24"/>
            <w:szCs w:val="24"/>
          </w:rPr>
          <w:t>www.compras.gov.br</w:t>
        </w:r>
      </w:hyperlink>
      <w:r>
        <w:rPr>
          <w:rFonts w:ascii="Cambria" w:hAnsi="Cambria" w:cstheme="minorHAnsi"/>
          <w:sz w:val="24"/>
          <w:szCs w:val="24"/>
        </w:rPr>
        <w:t xml:space="preserve"> o valor a ser observado pelo fornecedor refere-se ao </w:t>
      </w:r>
      <w:r>
        <w:rPr>
          <w:rFonts w:ascii="Cambria" w:hAnsi="Cambria" w:cstheme="minorHAnsi"/>
          <w:b/>
          <w:sz w:val="24"/>
          <w:szCs w:val="24"/>
        </w:rPr>
        <w:t>MENOR PREÇO GLOBAL</w:t>
      </w:r>
      <w:r>
        <w:rPr>
          <w:rFonts w:ascii="Cambria" w:hAnsi="Cambria" w:cstheme="minorHAnsi"/>
          <w:sz w:val="24"/>
          <w:szCs w:val="24"/>
        </w:rPr>
        <w:t>.</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eastAsia="Calibri" w:hAnsi="Cambria" w:cstheme="minorHAnsi"/>
          <w:color w:val="000000"/>
          <w:sz w:val="24"/>
          <w:szCs w:val="24"/>
        </w:rPr>
        <w:t xml:space="preserve">Desde que disponibilizada a funcionalidade no sistema, o licitante poderá, quando do cadastramento da proposta, parametrizar o seu valor final mínimo e obedecerá às seguintes regras: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intervalo mínimo de diferença de valores ou percentuais entre os lances, que incidirá tanto em relação aos lances intermediários quanto em relação à proposta que cobrir a melhor oferta deverá ser de 0,2% (dois décimos por cento) do valor estimado da contratação conforme anexo 01 deste Edital; e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Os lances serão de envio automático pelo sistema, respeitado o valor final mínimo estabelecido e o intervalo de que trata o subitem anterior.</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PRECAUÇÕES E COMPROMISSOS QUANTO A PROPOSTA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registro de proposta de preços eletrônica, </w:t>
      </w:r>
      <w:r>
        <w:rPr>
          <w:rFonts w:ascii="Cambria" w:hAnsi="Cambria" w:cstheme="minorHAnsi"/>
          <w:b/>
          <w:bCs/>
          <w:sz w:val="24"/>
          <w:szCs w:val="24"/>
        </w:rPr>
        <w:t>seja ela inicial ou final</w:t>
      </w:r>
      <w:r>
        <w:rPr>
          <w:rFonts w:ascii="Cambria" w:hAnsi="Cambria" w:cstheme="minorHAnsi"/>
          <w:sz w:val="24"/>
          <w:szCs w:val="24"/>
        </w:rPr>
        <w:t>, vinculada ao presente certame implica, independente de declaração expressa, na(o):</w:t>
      </w:r>
    </w:p>
    <w:p>
      <w:pPr>
        <w:pStyle w:val="PargrafodaLista"/>
        <w:numPr>
          <w:ilvl w:val="2"/>
          <w:numId w:val="9"/>
        </w:numPr>
        <w:tabs>
          <w:tab w:val="left" w:pos="426"/>
          <w:tab w:val="left" w:pos="851"/>
        </w:tabs>
        <w:ind w:hanging="513"/>
        <w:jc w:val="both"/>
        <w:rPr>
          <w:rFonts w:ascii="Cambria" w:hAnsi="Cambria" w:cstheme="minorHAnsi"/>
          <w:sz w:val="24"/>
          <w:szCs w:val="24"/>
        </w:rPr>
      </w:pPr>
      <w:r>
        <w:rPr>
          <w:rFonts w:ascii="Cambria" w:hAnsi="Cambria" w:cstheme="minorHAnsi"/>
          <w:sz w:val="24"/>
          <w:szCs w:val="24"/>
        </w:rPr>
        <w:t>Aceitação de todas as condições estabelecidas neste Edital e seus ANEXOS;</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 xml:space="preserve">Garantia do cumprimento da proposta por prazo mínimo de </w:t>
      </w:r>
      <w:r>
        <w:rPr>
          <w:rFonts w:ascii="Cambria" w:hAnsi="Cambria" w:cstheme="minorHAnsi"/>
          <w:b/>
          <w:bCs/>
          <w:sz w:val="24"/>
          <w:szCs w:val="24"/>
        </w:rPr>
        <w:t>60 (sessenta) dias</w:t>
      </w:r>
      <w:r>
        <w:rPr>
          <w:rFonts w:ascii="Cambria" w:hAnsi="Cambria" w:cstheme="minorHAnsi"/>
          <w:sz w:val="24"/>
          <w:szCs w:val="24"/>
        </w:rPr>
        <w:t>, contados da data de abertura da sessão pública estabelecida no preâmbulo deste Edital;</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lastRenderedPageBreak/>
        <w:t>Compromisso do proponente para com o rigoroso cumprimento das especificações técnicas, prazos e condições fixadas no Termo de Referência (anexo 01);</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Impossibilidade de posterior desistência ou declínio de proposta a partir da data da sessão eletrônica inicial, ou de requerer qualquer acréscimo de custos que deveria ter sido incluído na sua proposta;</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Submissão às sanções administrativas previstas neste Edital e seus ANEXOS;</w:t>
      </w:r>
    </w:p>
    <w:p>
      <w:pPr>
        <w:pStyle w:val="PargrafodaLista"/>
        <w:numPr>
          <w:ilvl w:val="2"/>
          <w:numId w:val="9"/>
        </w:numPr>
        <w:tabs>
          <w:tab w:val="left" w:pos="426"/>
          <w:tab w:val="left" w:pos="851"/>
        </w:tabs>
        <w:ind w:left="567" w:firstLine="0"/>
        <w:jc w:val="both"/>
        <w:rPr>
          <w:rFonts w:ascii="Cambria" w:hAnsi="Cambria" w:cstheme="minorHAnsi"/>
          <w:sz w:val="24"/>
          <w:szCs w:val="24"/>
        </w:rPr>
      </w:pPr>
      <w:r>
        <w:rPr>
          <w:rFonts w:ascii="Cambria" w:hAnsi="Cambria" w:cstheme="minorHAnsi"/>
          <w:sz w:val="24"/>
          <w:szCs w:val="24"/>
        </w:rPr>
        <w:t>Obrigação de participar ativamente do certame (ON-LINE) até a sua conclusão, encaminhando toda a documentação solicitada e/ou prestando as informações e esclarecimentos solicitados pelo Pregoeiro.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No momento do cadastro ou registro da proposta comercial eletrônica, o proponente deverá atentar para o fato de que, por razões de limitações técnicas das especificações dos materiais constantes no catálogo do Compras Gov no site </w:t>
      </w:r>
      <w:hyperlink r:id="rId24" w:history="1">
        <w:r>
          <w:rPr>
            <w:rStyle w:val="Hyperlink"/>
            <w:rFonts w:ascii="Cambria" w:hAnsi="Cambria" w:cstheme="minorHAnsi"/>
            <w:sz w:val="24"/>
            <w:szCs w:val="24"/>
          </w:rPr>
          <w:t>www.compras.gov.br</w:t>
        </w:r>
      </w:hyperlink>
      <w:r>
        <w:rPr>
          <w:rFonts w:ascii="Cambria" w:hAnsi="Cambria" w:cstheme="minorHAnsi"/>
          <w:sz w:val="24"/>
          <w:szCs w:val="24"/>
        </w:rPr>
        <w:t xml:space="preserve"> as ESPECIFICAÇÕES TÉCNICAS COMPLETAS DO OBJETO LICITADO, para efeito de formulação da proposta de preços, serão sempre aquelas constantes do Termo de Referência (anexo 01).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Após a abertura da sessão pública eletrônica do presente certame, não cabe em nenhuma hipótese desistência de proposta.</w:t>
      </w:r>
    </w:p>
    <w:p>
      <w:pPr>
        <w:tabs>
          <w:tab w:val="left" w:pos="426"/>
        </w:tabs>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DOS PREÇOS, CLASSIFICAÇÃO E CRITÉRIO DE JULGAMENTO DA PROPOSTA: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encaminhamento de Proposta de Preços pressupõe o pleno conhecimento e atendimento às exigências de habilitação previstas neste Edital. O proponente será responsável por todas as transações que forem efetuadas em seu nome na plataforma eletrônica, assumindo como firmes e verdadeiras sua Proposta de Preços e lances.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Não será possível a oferta de quantidades inferiores às previstas no Termo de Referência anexo ao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constantes da Proposta de Preços do proponente deverão conter apenas 02 (duas) casas decimais após a vírgula em seus valores globais e unitários, inclusive em propostas de adequação, quando for o caso.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propostos deverão estar de acordo com o quantitativo do bem cotado.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preços propostos e a proposta de preços em si são de exclusiva responsabilidade do proponente, não lhe assistindo o direito de pleitear qualquer alteração dos mesmos, sob alegação de erro, omissão ou qualquer outro argumento não previsto em lei, salvo nos casos nitidamente verificados e atestados pelo Pregoeiro que, dentro da situação concreta, poderá agir no sentido de prospectar maior celeridade e eficiência ao julgamento.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Ocorrendo discrepância entre o preço unitário e total, prevalecerá aquele lançado no sistema e utilizado para classificação das Propostas de Preços, devendo o Pregoeiro proceder às correções necessárias.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Havendo discrepância entre a especificação dos itens do edital e seus ANEXOS e aquelas lançadas no sistema, prevalecerão as especificações do edital e seus ANEXOS.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Na elaboração da Proposta, o preço cotado poderá ultrapassar o valor de referência da presente licitação discriminado no MAPA DE PREÇOS presente nos autos do processo em epígrafe. Entretanto, na disputa de lances, o lance final deverá atingir preço inferior ou igual ao limite máximo constante do Mapa de Preços; o preço unitário dos itens que compõem o lote deverá ser inferior ou igual àquele limite.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Caso não seja realizada a disputa de lances, a proponente que cotou na proposta o menor preço deverá reduzi-lo a um valor inferior ou igual ao limite máximo acima especificado. Nesse contexto, estando a proposta inicial inferior ao estimado, a mesma deverá ser considerada.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critério de julgamento do processo licitatório será aquele constante da parte específica do procedimento.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Não serão adjudicadas Propostas de Preços com valores superiores à média dos preços unitários e totais estimados para a contratação, os quais se encontram definidos no Termo de Referência.</w:t>
      </w:r>
    </w:p>
    <w:p>
      <w:pPr>
        <w:pStyle w:val="PargrafodaLista"/>
        <w:numPr>
          <w:ilvl w:val="2"/>
          <w:numId w:val="5"/>
        </w:numPr>
        <w:tabs>
          <w:tab w:val="left" w:pos="426"/>
          <w:tab w:val="left" w:pos="709"/>
        </w:tabs>
        <w:ind w:left="0" w:firstLine="0"/>
        <w:jc w:val="both"/>
        <w:rPr>
          <w:rFonts w:ascii="Cambria" w:hAnsi="Cambria" w:cstheme="minorHAnsi"/>
          <w:sz w:val="24"/>
          <w:szCs w:val="24"/>
        </w:rPr>
      </w:pPr>
      <w:r>
        <w:rPr>
          <w:rFonts w:ascii="Cambria" w:hAnsi="Cambria" w:cstheme="minorHAnsi"/>
          <w:sz w:val="24"/>
          <w:szCs w:val="24"/>
        </w:rPr>
        <w:t>O prazo de validade da Proposta de Preços não pode ser inferior a 60 (sessenta) dias consecutivos da sessão de abertura desta licitação. Caso a proponente não informe em sua Proposta de Preços o prazo de validade, será considerado aquele definido neste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 Pregoeiro visando o atendimento a ampliação do princípio da competitividade, bem como, munido da utilização do formalismo moderado poderá, dentro da análise de conveniência e oportunidade e ante ao caso concreto, realizar o saneamento de eventuais erros ou divergências constantes das propostas de preços, seja ela inicial ou a final (adequada).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Será desclassificada a Proposta de Preços apresentada em desconformidade com este item.</w:t>
      </w:r>
    </w:p>
    <w:p>
      <w:pPr>
        <w:pStyle w:val="WW-NormalWeb"/>
        <w:keepLines/>
        <w:widowControl w:val="0"/>
        <w:spacing w:before="0" w:after="0"/>
        <w:jc w:val="both"/>
        <w:rPr>
          <w:rFonts w:ascii="Cambria" w:hAnsi="Cambria" w:cstheme="minorHAnsi"/>
          <w:szCs w:val="24"/>
        </w:rPr>
      </w:pPr>
    </w:p>
    <w:p>
      <w:pPr>
        <w:pStyle w:val="Ttulo1"/>
        <w:ind w:left="0" w:firstLine="0"/>
        <w:rPr>
          <w:rFonts w:ascii="Cambria" w:hAnsi="Cambria" w:cstheme="minorHAnsi"/>
          <w:sz w:val="24"/>
          <w:szCs w:val="24"/>
        </w:rPr>
      </w:pPr>
      <w:bookmarkStart w:id="29" w:name="_Toc161741804"/>
      <w:bookmarkStart w:id="30" w:name="_Toc164093663"/>
      <w:r>
        <w:rPr>
          <w:rFonts w:ascii="Cambria" w:hAnsi="Cambria" w:cstheme="minorHAnsi"/>
          <w:sz w:val="24"/>
          <w:szCs w:val="24"/>
        </w:rPr>
        <w:t>DOS DOCUMENTOS DE HABILITAÇÃO</w:t>
      </w:r>
      <w:bookmarkEnd w:id="29"/>
      <w:bookmarkEnd w:id="30"/>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documentos de habilitação previstos no Termo de Referência serão exigidos apenas do licitante cuja proposta tenha sido aceita na fase de julgamento. </w:t>
      </w:r>
    </w:p>
    <w:p>
      <w:pPr>
        <w:tabs>
          <w:tab w:val="left" w:pos="426"/>
        </w:tabs>
        <w:jc w:val="both"/>
        <w:rPr>
          <w:rFonts w:ascii="Cambria" w:hAnsi="Cambria" w:cstheme="minorHAnsi"/>
          <w:sz w:val="24"/>
          <w:szCs w:val="24"/>
        </w:rPr>
      </w:pPr>
      <w:r>
        <w:rPr>
          <w:rFonts w:ascii="Cambria" w:hAnsi="Cambria" w:cstheme="minorHAnsi"/>
          <w:sz w:val="24"/>
          <w:szCs w:val="24"/>
        </w:rPr>
        <w:t>8.1.1. Os documentos exigidos para fins de comprovação da habilitação jurídica, fiscal, social e trabalhista e econômico-ﬁnanceira, poderão ser substituídos pelo registro cadastral no SICAF.</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Os documentos necessários para comprovar a habilitação jurídica, fiscal, social e trabalhista e econômico-ﬁnanceira, caso não estejam contemplados ou válidos no SICAF e a documentação comprobatória de qualificação técnica do licitante exigidos no Termo de Referência deverão ser enviados por meio da opção “Enviar Anexo” do sistema Compras Gov no site </w:t>
      </w:r>
      <w:hyperlink r:id="rId25" w:history="1">
        <w:r>
          <w:rPr>
            <w:rStyle w:val="Hyperlink"/>
            <w:rFonts w:ascii="Cambria" w:hAnsi="Cambria" w:cstheme="minorHAnsi"/>
            <w:sz w:val="24"/>
            <w:szCs w:val="24"/>
          </w:rPr>
          <w:t>www.compras.gov.br</w:t>
        </w:r>
      </w:hyperlink>
      <w:r>
        <w:rPr>
          <w:rFonts w:ascii="Cambria" w:hAnsi="Cambria" w:cstheme="minorHAnsi"/>
          <w:sz w:val="24"/>
          <w:szCs w:val="24"/>
        </w:rPr>
        <w:t xml:space="preserve">  quando solicitados pelo Pregoeiro. </w:t>
      </w:r>
    </w:p>
    <w:p>
      <w:pPr>
        <w:tabs>
          <w:tab w:val="left" w:pos="426"/>
        </w:tabs>
        <w:jc w:val="both"/>
        <w:rPr>
          <w:rFonts w:ascii="Cambria" w:hAnsi="Cambria" w:cstheme="minorHAnsi"/>
          <w:sz w:val="24"/>
          <w:szCs w:val="24"/>
        </w:rPr>
      </w:pPr>
      <w:r>
        <w:rPr>
          <w:rFonts w:ascii="Cambria" w:hAnsi="Cambria" w:cstheme="minorHAnsi"/>
          <w:sz w:val="24"/>
          <w:szCs w:val="24"/>
        </w:rPr>
        <w:t xml:space="preserve">8.2.1. Os documentos deverão ser apresentados em formato digital, no prazo de até 02 (duas) horas, contados da convocação efetuada pelo Pregoeiro.  </w:t>
      </w:r>
    </w:p>
    <w:p>
      <w:pPr>
        <w:tabs>
          <w:tab w:val="left" w:pos="426"/>
        </w:tabs>
        <w:jc w:val="both"/>
        <w:rPr>
          <w:rFonts w:ascii="Cambria" w:hAnsi="Cambria" w:cstheme="minorHAnsi"/>
          <w:sz w:val="24"/>
          <w:szCs w:val="24"/>
        </w:rPr>
      </w:pPr>
      <w:r>
        <w:rPr>
          <w:rFonts w:ascii="Cambria" w:hAnsi="Cambria" w:cstheme="minorHAnsi"/>
          <w:sz w:val="24"/>
          <w:szCs w:val="24"/>
        </w:rPr>
        <w:t>8.2.1.1. É facultado ao Pregoeiro prorrogar o prazo estabelecido acima, por igual período, nas seguintes situações:</w:t>
      </w:r>
    </w:p>
    <w:p>
      <w:pPr>
        <w:tabs>
          <w:tab w:val="left" w:pos="426"/>
        </w:tabs>
        <w:jc w:val="both"/>
        <w:rPr>
          <w:rFonts w:ascii="Cambria" w:hAnsi="Cambria" w:cstheme="minorHAnsi"/>
          <w:sz w:val="24"/>
          <w:szCs w:val="24"/>
        </w:rPr>
      </w:pPr>
      <w:r>
        <w:rPr>
          <w:rFonts w:ascii="Cambria" w:hAnsi="Cambria" w:cstheme="minorHAnsi"/>
          <w:sz w:val="24"/>
          <w:szCs w:val="24"/>
        </w:rPr>
        <w:t>a) por solicitação do licitante, mediante justificativa aceita pelo Pregoeiro;</w:t>
      </w:r>
    </w:p>
    <w:p>
      <w:pPr>
        <w:tabs>
          <w:tab w:val="left" w:pos="426"/>
        </w:tabs>
        <w:jc w:val="both"/>
        <w:rPr>
          <w:rFonts w:ascii="Cambria" w:hAnsi="Cambria" w:cstheme="minorHAnsi"/>
          <w:sz w:val="24"/>
          <w:szCs w:val="24"/>
        </w:rPr>
      </w:pPr>
      <w:r>
        <w:rPr>
          <w:rFonts w:ascii="Cambria" w:hAnsi="Cambria" w:cstheme="minorHAnsi"/>
          <w:sz w:val="24"/>
          <w:szCs w:val="24"/>
        </w:rPr>
        <w:t>b) de ofício, a critério do Pregoeiro, quando constatado que o prazo estabelecido não é suficiente para o envio dos documentos exigidos.</w:t>
      </w:r>
    </w:p>
    <w:p>
      <w:pPr>
        <w:tabs>
          <w:tab w:val="left" w:pos="426"/>
        </w:tabs>
        <w:jc w:val="both"/>
        <w:rPr>
          <w:rFonts w:ascii="Cambria" w:hAnsi="Cambria" w:cstheme="minorHAnsi"/>
          <w:sz w:val="24"/>
          <w:szCs w:val="24"/>
        </w:rPr>
      </w:pPr>
      <w:r>
        <w:rPr>
          <w:rFonts w:ascii="Cambria" w:hAnsi="Cambria" w:cstheme="minorHAnsi"/>
          <w:sz w:val="24"/>
          <w:szCs w:val="24"/>
        </w:rPr>
        <w:t xml:space="preserve">8.2.2. Os documentos remetidos por meio da opção “Enviar Anexo” do sistema Compras Gov no site </w:t>
      </w:r>
      <w:hyperlink r:id="rId26" w:history="1">
        <w:r>
          <w:rPr>
            <w:rStyle w:val="Hyperlink"/>
            <w:rFonts w:ascii="Cambria" w:hAnsi="Cambria" w:cstheme="minorHAnsi"/>
            <w:sz w:val="24"/>
            <w:szCs w:val="24"/>
          </w:rPr>
          <w:t>www.compras.gov.br</w:t>
        </w:r>
      </w:hyperlink>
      <w:r>
        <w:rPr>
          <w:rFonts w:ascii="Cambria" w:hAnsi="Cambria" w:cstheme="minorHAnsi"/>
          <w:sz w:val="24"/>
          <w:szCs w:val="24"/>
        </w:rPr>
        <w:t xml:space="preserve"> poderão ser solicitados em original ou por cópia autenticada, caso haja dúvida justificada, a qualquer momento, em prazo a ser estabelecido pelo Pregoeiro.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 verificação pelo Pregoeiro em sítios eletrônicos oficiais de órgãos e entidades emissores de certidões constitui meio legal de prova para fins de habilitação. </w:t>
      </w:r>
    </w:p>
    <w:p>
      <w:pPr>
        <w:pStyle w:val="PargrafodaLista"/>
        <w:numPr>
          <w:ilvl w:val="1"/>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Após a apresentação dos documentos de habilitação, fica vedada a substituição ou a apresentação de novos documentos, salvo em sede de diligência, para: </w:t>
      </w:r>
    </w:p>
    <w:p>
      <w:pPr>
        <w:tabs>
          <w:tab w:val="left" w:pos="426"/>
        </w:tabs>
        <w:jc w:val="both"/>
        <w:rPr>
          <w:rFonts w:ascii="Cambria" w:hAnsi="Cambria" w:cstheme="minorHAnsi"/>
          <w:sz w:val="24"/>
          <w:szCs w:val="24"/>
        </w:rPr>
      </w:pPr>
      <w:r>
        <w:rPr>
          <w:rFonts w:ascii="Cambria" w:hAnsi="Cambria" w:cstheme="minorHAnsi"/>
          <w:sz w:val="24"/>
          <w:szCs w:val="24"/>
        </w:rPr>
        <w:t xml:space="preserve">8.4.1. Complementação de informações acerca dos documentos já apresentados pelos licitantes e desde que necessária para apurar fatos existentes à época da abertura do certame; </w:t>
      </w:r>
    </w:p>
    <w:p>
      <w:pPr>
        <w:tabs>
          <w:tab w:val="left" w:pos="426"/>
        </w:tabs>
        <w:jc w:val="both"/>
        <w:rPr>
          <w:rFonts w:ascii="Cambria" w:hAnsi="Cambria" w:cstheme="minorHAnsi"/>
          <w:sz w:val="24"/>
          <w:szCs w:val="24"/>
        </w:rPr>
      </w:pPr>
      <w:r>
        <w:rPr>
          <w:rFonts w:ascii="Cambria" w:hAnsi="Cambria" w:cstheme="minorHAnsi"/>
          <w:sz w:val="24"/>
          <w:szCs w:val="24"/>
        </w:rPr>
        <w:lastRenderedPageBreak/>
        <w:t>8.4.2. Atualização de documentos cuja validade tenha expirado após a data de recebimento das propostas.</w:t>
      </w:r>
    </w:p>
    <w:p>
      <w:pPr>
        <w:tabs>
          <w:tab w:val="left" w:pos="426"/>
        </w:tabs>
        <w:jc w:val="both"/>
        <w:rPr>
          <w:rFonts w:ascii="Cambria" w:hAnsi="Cambria" w:cstheme="minorHAnsi"/>
          <w:sz w:val="24"/>
          <w:szCs w:val="24"/>
        </w:rPr>
      </w:pPr>
      <w:r>
        <w:rPr>
          <w:rFonts w:ascii="Cambria" w:hAnsi="Cambria" w:cstheme="minorHAnsi"/>
          <w:sz w:val="24"/>
          <w:szCs w:val="24"/>
        </w:rPr>
        <w:t>8.5. 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pPr>
        <w:tabs>
          <w:tab w:val="left" w:pos="426"/>
        </w:tabs>
        <w:jc w:val="both"/>
        <w:rPr>
          <w:rFonts w:ascii="Cambria" w:hAnsi="Cambria" w:cstheme="minorHAnsi"/>
          <w:sz w:val="24"/>
          <w:szCs w:val="24"/>
        </w:rPr>
      </w:pPr>
      <w:r>
        <w:rPr>
          <w:rFonts w:ascii="Cambria" w:hAnsi="Cambria" w:cstheme="minorHAnsi"/>
          <w:sz w:val="24"/>
          <w:szCs w:val="24"/>
        </w:rPr>
        <w:t>8.6. Na hipótese de o licitante não atender às exigências para habilitação, o Pregoeiro examinará a proposta subsequente e assim sucessivamente, na ordem de classificação, até a apuração de uma proposta que atenda ao presente edital.</w:t>
      </w:r>
    </w:p>
    <w:p>
      <w:pPr>
        <w:tabs>
          <w:tab w:val="left" w:pos="426"/>
        </w:tabs>
        <w:jc w:val="both"/>
        <w:rPr>
          <w:rFonts w:ascii="Cambria" w:hAnsi="Cambria" w:cstheme="minorHAnsi"/>
          <w:sz w:val="24"/>
          <w:szCs w:val="24"/>
        </w:rPr>
      </w:pPr>
      <w:r>
        <w:rPr>
          <w:rFonts w:ascii="Cambria" w:hAnsi="Cambria" w:cstheme="minorHAnsi"/>
          <w:sz w:val="24"/>
          <w:szCs w:val="24"/>
        </w:rPr>
        <w:t>8.7. Somente serão disponibilizados para acesso público os documentos de habilitação do licitante cuja proposta atenda ao edital de licitação, após concluídos os procedimentos de que trata o subitem anterior.</w:t>
      </w:r>
    </w:p>
    <w:p>
      <w:pPr>
        <w:tabs>
          <w:tab w:val="left" w:pos="426"/>
        </w:tabs>
        <w:jc w:val="both"/>
        <w:rPr>
          <w:rFonts w:ascii="Cambria" w:hAnsi="Cambria" w:cstheme="minorHAnsi"/>
          <w:sz w:val="24"/>
          <w:szCs w:val="24"/>
        </w:rPr>
      </w:pPr>
      <w:r>
        <w:rPr>
          <w:rFonts w:ascii="Cambria" w:hAnsi="Cambria" w:cstheme="minorHAnsi"/>
          <w:sz w:val="24"/>
          <w:szCs w:val="24"/>
        </w:rPr>
        <w:t>8.8.A comprovação de regularidade fiscal e trabalhista dos beneficiários da Lei Complementar n° 123/06 somente será exigida para a adjudicação, e não como condição para participação na licitação.</w:t>
      </w:r>
    </w:p>
    <w:p>
      <w:pPr>
        <w:tabs>
          <w:tab w:val="left" w:pos="426"/>
        </w:tabs>
        <w:jc w:val="both"/>
        <w:rPr>
          <w:rFonts w:ascii="Cambria" w:hAnsi="Cambria" w:cstheme="minorHAnsi"/>
          <w:sz w:val="24"/>
          <w:szCs w:val="24"/>
        </w:rPr>
      </w:pPr>
      <w:r>
        <w:rPr>
          <w:rFonts w:ascii="Cambria" w:hAnsi="Cambria" w:cstheme="minorHAnsi"/>
          <w:sz w:val="24"/>
          <w:szCs w:val="24"/>
        </w:rPr>
        <w:t>8.8.1. Havendo alguma restrição na comprovação da regularidade fiscal e trabalhista, será assegurado o prazo de 05 (cinco) dias úteis, cujo termo inicial corresponderá ao momento em que o licitante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pPr>
        <w:tabs>
          <w:tab w:val="left" w:pos="426"/>
        </w:tabs>
        <w:jc w:val="both"/>
        <w:rPr>
          <w:rFonts w:ascii="Cambria" w:hAnsi="Cambria" w:cstheme="minorHAnsi"/>
          <w:sz w:val="24"/>
          <w:szCs w:val="24"/>
        </w:rPr>
      </w:pPr>
      <w:r>
        <w:rPr>
          <w:rFonts w:ascii="Cambria" w:hAnsi="Cambria" w:cstheme="minorHAnsi"/>
          <w:sz w:val="24"/>
          <w:szCs w:val="24"/>
        </w:rPr>
        <w:t>8.8.2.  A prorrogação do prazo previsto acima deverá ser solicitada formalmente, via sistema eletrônico, dentro do prazo inicial de 05 (cinco) dias úteis concedidos para a regularização da documentação fiscal e trabalhista.</w:t>
      </w:r>
    </w:p>
    <w:p>
      <w:pPr>
        <w:tabs>
          <w:tab w:val="left" w:pos="426"/>
        </w:tabs>
        <w:jc w:val="both"/>
        <w:rPr>
          <w:rFonts w:ascii="Cambria" w:hAnsi="Cambria" w:cstheme="minorHAnsi"/>
          <w:sz w:val="24"/>
          <w:szCs w:val="24"/>
        </w:rPr>
      </w:pPr>
      <w:r>
        <w:rPr>
          <w:rFonts w:ascii="Cambria" w:hAnsi="Cambria" w:cstheme="minorHAnsi"/>
          <w:sz w:val="24"/>
          <w:szCs w:val="24"/>
        </w:rPr>
        <w:t>8.8.3. A não regularização da documentação, no prazo previsto acima, implicará decadência do direito à contratação, sem prejuízo das sanções previstas neste edital e na legislação, sendo facultado ao Pregoeiro convocar os licitantes remanescentes, na ordem de classificação.</w:t>
      </w:r>
    </w:p>
    <w:p>
      <w:pPr>
        <w:tabs>
          <w:tab w:val="left" w:pos="426"/>
        </w:tabs>
        <w:jc w:val="both"/>
        <w:rPr>
          <w:rFonts w:ascii="Cambria" w:hAnsi="Cambria" w:cstheme="minorHAnsi"/>
          <w:sz w:val="24"/>
          <w:szCs w:val="24"/>
        </w:rPr>
      </w:pPr>
      <w:r>
        <w:rPr>
          <w:rFonts w:ascii="Cambria" w:hAnsi="Cambria" w:cstheme="minorHAnsi"/>
          <w:sz w:val="24"/>
          <w:szCs w:val="24"/>
        </w:rPr>
        <w:t>8.9. Quando permitida a participação de empresas estrangeiras que não funcionem no País, as exigências de habilitação serão atendidas mediante documentos equivalentes, inicialmente apresentados em tradução livre.</w:t>
      </w:r>
    </w:p>
    <w:p>
      <w:pPr>
        <w:tabs>
          <w:tab w:val="left" w:pos="426"/>
        </w:tabs>
        <w:jc w:val="both"/>
        <w:rPr>
          <w:rFonts w:ascii="Cambria" w:hAnsi="Cambria" w:cstheme="minorHAnsi"/>
          <w:sz w:val="24"/>
          <w:szCs w:val="24"/>
          <w:highlight w:val="yellow"/>
        </w:rPr>
      </w:pPr>
      <w:r>
        <w:rPr>
          <w:rFonts w:ascii="Cambria" w:hAnsi="Cambria" w:cstheme="minorHAnsi"/>
          <w:sz w:val="24"/>
          <w:szCs w:val="24"/>
        </w:rPr>
        <w:t>8.9.1. Na hipótese de o licitante vencedor ser empresa estrangeira que não funcione no País, para fins de assinatura do contrato ou do Instrumento Contratual,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tabs>
          <w:tab w:val="left" w:pos="426"/>
        </w:tabs>
        <w:jc w:val="both"/>
        <w:rPr>
          <w:rFonts w:ascii="Cambria" w:hAnsi="Cambria" w:cstheme="minorHAnsi"/>
          <w:sz w:val="24"/>
          <w:szCs w:val="24"/>
        </w:rPr>
      </w:pPr>
      <w:r>
        <w:rPr>
          <w:rFonts w:ascii="Cambria" w:hAnsi="Cambria" w:cstheme="minorHAnsi"/>
          <w:sz w:val="24"/>
          <w:szCs w:val="24"/>
        </w:rPr>
        <w:t>8.10. Comprovada a regularidade da habilitação, o licitante será reputado habilitado e será declarado vencedor do lote.</w:t>
      </w:r>
    </w:p>
    <w:p>
      <w:pPr>
        <w:pStyle w:val="Corpodetexto"/>
        <w:tabs>
          <w:tab w:val="left" w:pos="-1701"/>
          <w:tab w:val="left" w:pos="809"/>
        </w:tabs>
        <w:rPr>
          <w:rFonts w:ascii="Cambria" w:hAnsi="Cambria" w:cstheme="minorHAnsi"/>
          <w:sz w:val="24"/>
          <w:szCs w:val="24"/>
        </w:rPr>
      </w:pPr>
    </w:p>
    <w:p>
      <w:pPr>
        <w:pStyle w:val="Ttulo1"/>
        <w:ind w:left="0" w:firstLine="0"/>
        <w:rPr>
          <w:rFonts w:ascii="Cambria" w:hAnsi="Cambria" w:cstheme="minorHAnsi"/>
          <w:sz w:val="24"/>
          <w:szCs w:val="24"/>
        </w:rPr>
      </w:pPr>
      <w:bookmarkStart w:id="31" w:name="_Toc161741805"/>
      <w:bookmarkStart w:id="32" w:name="_Toc164093664"/>
      <w:r>
        <w:rPr>
          <w:rFonts w:ascii="Cambria" w:hAnsi="Cambria" w:cstheme="minorHAnsi"/>
          <w:sz w:val="24"/>
          <w:szCs w:val="24"/>
        </w:rPr>
        <w:t>DA SESSÃO PÚBLICA.</w:t>
      </w:r>
      <w:bookmarkEnd w:id="31"/>
      <w:bookmarkEnd w:id="32"/>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DISPOSIÇÕES PRELIMINARES: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O Pregão será do tipo Eletrônico o qual será realizado em sessão pública por meio da plataforma Compras Gov no site </w:t>
      </w:r>
      <w:hyperlink r:id="rId27" w:history="1">
        <w:r>
          <w:rPr>
            <w:rStyle w:val="Hyperlink"/>
            <w:rFonts w:ascii="Cambria" w:hAnsi="Cambria" w:cstheme="minorHAnsi"/>
            <w:sz w:val="24"/>
            <w:szCs w:val="24"/>
          </w:rPr>
          <w:t>www.compras.gov.br</w:t>
        </w:r>
      </w:hyperlink>
      <w:r>
        <w:rPr>
          <w:rFonts w:ascii="Cambria" w:hAnsi="Cambria" w:cstheme="minorHAnsi"/>
          <w:sz w:val="24"/>
          <w:szCs w:val="24"/>
        </w:rPr>
        <w:t xml:space="preserve"> mediante condições de segurança - criptografia e autenticação - em todas as suas fases através do Sistema de Pregão Eletrônico.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Os trabalhos serão conduzidos por servidor da Prefeitura Municipal de Miraíma/CE, agente de contratação denominado como Pregoeiro.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O proponente poderá enviar as informações da Proposta de Preços e documentos de habilitação e participar da disputa através da plataforma eletrônica.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participação no Pregão Eletrônico dar-se-á por meio da digitação da senha pessoal e intransferível do proponente direto ou do representante credenciado e subsequente encaminhamento da proposta inicial de preços e seus ANEXOS, exclusivamente por meio da plataforma eletrônica, observados as condições e limites de data e horário estabelecidos neste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abertura da sessão pública deste Pregão, conduzida pelo Pregoeiro designado ao respectivo procedimento administrativo, ocorrerá na data e na hora indicadas no preâmbulo deste Edital.</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Na hipótese de não haver expediente na data designada para a realização do ato, este será realizado no primeiro dia útil subsequente, no mesmo horário ou em outra data a ser fixada na plataforma pelo Pregoeiro. </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comunicação entre o Pregoeiro e os proponentes ocorrerá EXCLUSIVAMENTE mediante troca de mensagens, em campo próprio da plataforma eletrônica (CHAT), o qual será gerenciado diretamente pelo Pregoeiro e será integralmente reproduzido na Ata da Sessão Eletrônica.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 xml:space="preserve">Cabe ao PROPONENTE acompanhar as operações na plataforma eletrônica Compras Gov no site </w:t>
      </w:r>
      <w:hyperlink r:id="rId28" w:history="1">
        <w:r>
          <w:rPr>
            <w:rStyle w:val="Hyperlink"/>
            <w:rFonts w:ascii="Cambria" w:hAnsi="Cambria" w:cstheme="minorHAnsi"/>
            <w:sz w:val="24"/>
            <w:szCs w:val="24"/>
          </w:rPr>
          <w:t>www.compras.gov.br</w:t>
        </w:r>
      </w:hyperlink>
      <w:r>
        <w:rPr>
          <w:rFonts w:ascii="Cambria" w:hAnsi="Cambria" w:cstheme="minorHAnsi"/>
          <w:sz w:val="24"/>
          <w:szCs w:val="24"/>
        </w:rPr>
        <w:t xml:space="preserve"> anexar a PROPOSTA DE PREÇOS INICIAL, registrar os LANCES, anexar a PROPOSTA DE PREÇOS FINAL (CONSOLIDADA), a DOCUMENTAÇÃO DE HABILITAÇÃO, os DOCUMENTOS COMPLEMENTARES, se for o caso, e PRESTAR AS INFORMAÇÕES SOLICITADAS, durante toda a licitação, responsabilizando-se pelos ônus decorrentes de preclusão de direitos, perda de negócios e/ou sanções por descumprimentos de obrigações, diante da inobservância de mensagens emitidas pelo sistema ou de sua desconexão.</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não anexação ou envio da proposta comercial e documentos de habilitação exigidos no Edital (e seus ANEXOS), bem como a não anexação de documentos complementares, prestação de informações e não pronunciamento em relação à questão suscitada pelo Pregoeiro, além de possibilitar a oportuna DESCLASSIFICAÇÃO ou INABILITAÇÃO do particular do certame, poderá ensejar a aplicação das sanções administrativas previstas neste Edital, sem prejuízo de outras responsabilidades civis e penais que seu ato acarretar, nos termos das regras contidas no Capítulo I do Título IV da Lei nº 14.133/2021.</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Toda a Sessão Pública será documentada automaticamente pelo sistema na respectiva ATA DA SESSÃO, a qual será gerada e disponibilizada para consulta de todos os interessados por meio da plataforma eletrônica Compras Gov no site 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Na hipótese de ocorrer desconexão do Pregoeiro no decorrer da Sessão e a plataforma eletrônica permanecer acessível aos proponentes, os trabalhos continuarão e os lances serão recebidos, sem qualquer prejuízo dos atos realizados.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No caso de a desconexão do Pregoeiro persistir por tempo superior a DEZ MINUTOS, a Sessão do Pregão será suspensa automaticamente e terá reinício somente 24h (vinte e quatro horas) após comunicação expressa aos participantes, por meio da plataforma eletrônica no sítio (http://www.compras.gov.br).</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Cabe ao proponente acompanhar continuamente os documentos, pareceres e atos divulgados ou disponibilizados por meio do Portal de Licitações do TCE/CE.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lastRenderedPageBreak/>
        <w:t xml:space="preserve">Havendo necessidade, o Pregoeiro poderá suspender a Sessão com a devida comunicação prévia via CHAT, como também registrando na plataforma eletrônica Compras Gov no site </w:t>
      </w:r>
      <w:hyperlink r:id="rId29" w:history="1">
        <w:r>
          <w:rPr>
            <w:rStyle w:val="Hyperlink"/>
            <w:rFonts w:ascii="Cambria" w:hAnsi="Cambria" w:cstheme="minorHAnsi"/>
            <w:sz w:val="24"/>
            <w:szCs w:val="24"/>
          </w:rPr>
          <w:t>www.compras.gov.br</w:t>
        </w:r>
      </w:hyperlink>
      <w:r>
        <w:rPr>
          <w:rFonts w:ascii="Cambria" w:hAnsi="Cambria" w:cstheme="minorHAnsi"/>
          <w:sz w:val="24"/>
          <w:szCs w:val="24"/>
        </w:rPr>
        <w:t xml:space="preserve"> a nova data e horário para a sua continuidade.</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Em face do horário, poderá o Pregoeiro estabelecer intervalo para almoço, sem a suspensão da Sessão, mediante comunicação prévia via CHAT.</w:t>
      </w:r>
    </w:p>
    <w:p>
      <w:pPr>
        <w:pStyle w:val="PargrafodaLista"/>
        <w:tabs>
          <w:tab w:val="left" w:pos="426"/>
        </w:tabs>
        <w:ind w:left="0"/>
        <w:jc w:val="both"/>
        <w:rPr>
          <w:rFonts w:ascii="Cambria" w:hAnsi="Cambria" w:cstheme="minorHAnsi"/>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ABERTURA DAS PROPOSTAS DE PREÇOS: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Pregoeira realizará previamente a sessão eletrônica, a configuração quanto a operacionalização do julgamento na plataforma, informando o período para análise da(s) proposta(s) de preços inicia(l)(is), a quantidade máxima de itens e ou lotes a serem disputados simultaneamente, dentre outros parâmetros relativos à disputa.</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partir do horário estabelecido no quadro resumo (parte específica do edital) terá início a sessão pública do Pregão Eletrônico, com a abertura e divulgação dos preços das Propostas de Preços iniciais cadastradas, passando o Pregoeiro a realizar a fase de lances.</w:t>
      </w:r>
    </w:p>
    <w:p>
      <w:pPr>
        <w:jc w:val="both"/>
        <w:rPr>
          <w:rFonts w:ascii="Cambria" w:hAnsi="Cambria" w:cstheme="minorHAnsi"/>
          <w:b/>
          <w:bCs/>
          <w:color w:val="FF0000"/>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LANCES.</w:t>
      </w:r>
    </w:p>
    <w:p>
      <w:pPr>
        <w:pStyle w:val="PargrafodaLista"/>
        <w:numPr>
          <w:ilvl w:val="2"/>
          <w:numId w:val="5"/>
        </w:numPr>
        <w:tabs>
          <w:tab w:val="left" w:pos="426"/>
        </w:tabs>
        <w:ind w:left="0" w:firstLine="0"/>
        <w:jc w:val="both"/>
        <w:rPr>
          <w:rFonts w:ascii="Cambria" w:hAnsi="Cambria" w:cstheme="minorHAnsi"/>
          <w:sz w:val="24"/>
          <w:szCs w:val="24"/>
        </w:rPr>
      </w:pPr>
      <w:r>
        <w:rPr>
          <w:rFonts w:ascii="Cambria" w:hAnsi="Cambria" w:cstheme="minorHAnsi"/>
          <w:sz w:val="24"/>
          <w:szCs w:val="24"/>
        </w:rPr>
        <w:t>A fase de lances poderá ocorrer sob o formato de disputa em modo “aberto” ou “aberto fechado”, conforme assinalado no quadro resumo constante do início do edital, devendo o licitante atentar-se quanto ao formato definido, observando, ainda:</w:t>
      </w:r>
    </w:p>
    <w:p>
      <w:pPr>
        <w:pStyle w:val="PargrafodaLista"/>
        <w:tabs>
          <w:tab w:val="left" w:pos="426"/>
        </w:tabs>
        <w:ind w:left="0"/>
        <w:jc w:val="both"/>
        <w:rPr>
          <w:rFonts w:ascii="Cambria" w:hAnsi="Cambria" w:cstheme="minorHAnsi"/>
          <w:b/>
          <w:bCs/>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ABERTO:</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No modo de disputa “ABERTO”, de que trata este edital, os proponentes apresentarão lances públicos e sucessivos, observados os seguintes procedimentos:</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A etapa de envio de lances na sessão pública durará DEZ MINUTOS e, após isso, será prorrogada automaticamente pelo sistema quando houver lance ofertado nos ÚLTIMOS DOIS MINUTOS do período de duração da sessão pública.</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A prorrogação automática da etapa de envio de lances, de que trata a alínea anterior, será de DOIS MINUTOS e ocorrerá sucessivamente sempre que houver lances enviados nesse período de prorrogação, inclusive quando se tratar de lances intermediários.</w:t>
      </w:r>
    </w:p>
    <w:p>
      <w:pPr>
        <w:pStyle w:val="PargrafodaLista"/>
        <w:numPr>
          <w:ilvl w:val="3"/>
          <w:numId w:val="10"/>
        </w:numPr>
        <w:tabs>
          <w:tab w:val="left" w:pos="284"/>
        </w:tabs>
        <w:ind w:left="0" w:firstLine="0"/>
        <w:jc w:val="both"/>
        <w:rPr>
          <w:rFonts w:ascii="Cambria" w:hAnsi="Cambria" w:cstheme="minorHAnsi"/>
          <w:sz w:val="24"/>
          <w:szCs w:val="24"/>
        </w:rPr>
      </w:pPr>
      <w:r>
        <w:rPr>
          <w:rFonts w:ascii="Cambria" w:hAnsi="Cambria" w:cstheme="minorHAnsi"/>
          <w:sz w:val="24"/>
          <w:szCs w:val="24"/>
        </w:rPr>
        <w:t>Na hipótese de não haver novos lances na forma estabelecida nas alíneas anteriores, a sessão pública será encerrada automaticamente.</w:t>
      </w:r>
    </w:p>
    <w:p>
      <w:pPr>
        <w:pStyle w:val="PargrafodaLista"/>
        <w:tabs>
          <w:tab w:val="left" w:pos="851"/>
        </w:tabs>
        <w:ind w:left="0"/>
        <w:jc w:val="both"/>
        <w:rPr>
          <w:rFonts w:ascii="Cambria" w:hAnsi="Cambria" w:cstheme="minorHAnsi"/>
          <w:b/>
          <w:bCs/>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ABERTO E FECHADO:</w:t>
      </w:r>
    </w:p>
    <w:p>
      <w:pPr>
        <w:tabs>
          <w:tab w:val="left" w:pos="284"/>
        </w:tabs>
        <w:jc w:val="both"/>
        <w:rPr>
          <w:rFonts w:ascii="Cambria" w:hAnsi="Cambria" w:cstheme="minorHAnsi"/>
          <w:sz w:val="24"/>
          <w:szCs w:val="24"/>
        </w:rPr>
      </w:pPr>
      <w:r>
        <w:rPr>
          <w:rFonts w:ascii="Cambria" w:hAnsi="Cambria" w:cstheme="minorHAnsi"/>
          <w:sz w:val="24"/>
          <w:szCs w:val="24"/>
        </w:rPr>
        <w:t>9.3.3.1. Caso seja adotado para o envio de lances no pregão eletrônico o modo de disputa “aberto e fechado”, os licitantes apresentarão lances públicos e sucessivos, com lance final e fechado.</w:t>
      </w:r>
    </w:p>
    <w:p>
      <w:pPr>
        <w:tabs>
          <w:tab w:val="left" w:pos="284"/>
        </w:tabs>
        <w:jc w:val="both"/>
        <w:rPr>
          <w:rFonts w:ascii="Cambria" w:hAnsi="Cambria" w:cstheme="minorHAnsi"/>
          <w:sz w:val="24"/>
          <w:szCs w:val="24"/>
        </w:rPr>
      </w:pPr>
      <w:r>
        <w:rPr>
          <w:rFonts w:ascii="Cambria" w:hAnsi="Cambria" w:cstheme="minorHAnsi"/>
          <w:b/>
          <w:bCs/>
          <w:sz w:val="24"/>
          <w:szCs w:val="24"/>
        </w:rPr>
        <w:t xml:space="preserve">a) </w:t>
      </w:r>
      <w:r>
        <w:rPr>
          <w:rFonts w:ascii="Cambria" w:hAnsi="Cambria" w:cstheme="minorHAnsi"/>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tabs>
          <w:tab w:val="left" w:pos="284"/>
        </w:tabs>
        <w:jc w:val="both"/>
        <w:rPr>
          <w:rFonts w:ascii="Cambria" w:hAnsi="Cambria" w:cstheme="minorHAnsi"/>
          <w:sz w:val="24"/>
          <w:szCs w:val="24"/>
        </w:rPr>
      </w:pPr>
      <w:r>
        <w:rPr>
          <w:rFonts w:ascii="Cambria" w:hAnsi="Cambria" w:cstheme="minorHAnsi"/>
          <w:b/>
          <w:bCs/>
          <w:sz w:val="24"/>
          <w:szCs w:val="24"/>
        </w:rPr>
        <w:t>b)</w:t>
      </w:r>
      <w:r>
        <w:rPr>
          <w:rFonts w:ascii="Cambria" w:hAnsi="Cambria" w:cstheme="minorHAnsi"/>
          <w:sz w:val="24"/>
          <w:szCs w:val="24"/>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tabs>
          <w:tab w:val="left" w:pos="284"/>
        </w:tabs>
        <w:jc w:val="both"/>
        <w:rPr>
          <w:rFonts w:ascii="Cambria" w:hAnsi="Cambria" w:cstheme="minorHAnsi"/>
          <w:sz w:val="24"/>
          <w:szCs w:val="24"/>
        </w:rPr>
      </w:pPr>
      <w:r>
        <w:rPr>
          <w:rFonts w:ascii="Cambria" w:hAnsi="Cambria" w:cstheme="minorHAnsi"/>
          <w:b/>
          <w:bCs/>
          <w:sz w:val="24"/>
          <w:szCs w:val="24"/>
        </w:rPr>
        <w:t xml:space="preserve">c) </w:t>
      </w:r>
      <w:r>
        <w:rPr>
          <w:rFonts w:ascii="Cambria" w:hAnsi="Cambria" w:cstheme="minorHAnsi"/>
          <w:sz w:val="24"/>
          <w:szCs w:val="24"/>
        </w:rPr>
        <w:t>No procedimento de que trata o subitem supra, o licitante poderá optar por manter o seu último lance da etapa aberta, ou por ofertar melhor lance.</w:t>
      </w:r>
    </w:p>
    <w:p>
      <w:pPr>
        <w:tabs>
          <w:tab w:val="left" w:pos="284"/>
        </w:tabs>
        <w:jc w:val="both"/>
        <w:rPr>
          <w:rFonts w:ascii="Cambria" w:hAnsi="Cambria" w:cstheme="minorHAnsi"/>
          <w:sz w:val="24"/>
          <w:szCs w:val="24"/>
        </w:rPr>
      </w:pPr>
      <w:r>
        <w:rPr>
          <w:rFonts w:ascii="Cambria" w:hAnsi="Cambria" w:cstheme="minorHAnsi"/>
          <w:b/>
          <w:bCs/>
          <w:sz w:val="24"/>
          <w:szCs w:val="24"/>
        </w:rPr>
        <w:lastRenderedPageBreak/>
        <w:t xml:space="preserve">d) </w:t>
      </w:r>
      <w:r>
        <w:rPr>
          <w:rFonts w:ascii="Cambria" w:hAnsi="Cambria" w:cstheme="minorHAns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PargrafodaLista"/>
        <w:tabs>
          <w:tab w:val="left" w:pos="284"/>
        </w:tabs>
        <w:ind w:left="0"/>
        <w:jc w:val="both"/>
        <w:rPr>
          <w:rFonts w:ascii="Cambria" w:hAnsi="Cambria" w:cstheme="minorHAnsi"/>
          <w:sz w:val="24"/>
          <w:szCs w:val="24"/>
        </w:rPr>
      </w:pPr>
      <w:r>
        <w:rPr>
          <w:rFonts w:ascii="Cambria" w:hAnsi="Cambria" w:cstheme="minorHAnsi"/>
          <w:b/>
          <w:bCs/>
          <w:sz w:val="24"/>
          <w:szCs w:val="24"/>
        </w:rPr>
        <w:t xml:space="preserve">e) </w:t>
      </w:r>
      <w:r>
        <w:rPr>
          <w:rFonts w:ascii="Cambria" w:hAnsi="Cambria" w:cstheme="minorHAnsi"/>
          <w:sz w:val="24"/>
          <w:szCs w:val="24"/>
        </w:rPr>
        <w:t>Após o término dos prazos estabelecidos nos itens anteriores, o sistema ordenará e divulgará os lances segundo a ordem crescente de valores.</w:t>
      </w:r>
    </w:p>
    <w:p>
      <w:pPr>
        <w:pStyle w:val="PargrafodaLista"/>
        <w:tabs>
          <w:tab w:val="left" w:pos="284"/>
        </w:tabs>
        <w:ind w:left="0"/>
        <w:jc w:val="both"/>
        <w:rPr>
          <w:rFonts w:ascii="Cambria" w:hAnsi="Cambria" w:cstheme="minorHAnsi"/>
          <w:sz w:val="24"/>
          <w:szCs w:val="24"/>
        </w:rPr>
      </w:pPr>
    </w:p>
    <w:p>
      <w:pPr>
        <w:pStyle w:val="PargrafodaLista"/>
        <w:numPr>
          <w:ilvl w:val="2"/>
          <w:numId w:val="5"/>
        </w:numPr>
        <w:tabs>
          <w:tab w:val="left" w:pos="426"/>
        </w:tabs>
        <w:ind w:left="0" w:firstLine="0"/>
        <w:jc w:val="both"/>
        <w:rPr>
          <w:rFonts w:ascii="Cambria" w:hAnsi="Cambria" w:cstheme="minorHAnsi"/>
          <w:b/>
          <w:sz w:val="24"/>
          <w:szCs w:val="24"/>
          <w:u w:val="single"/>
        </w:rPr>
      </w:pPr>
      <w:r>
        <w:rPr>
          <w:rFonts w:ascii="Cambria" w:hAnsi="Cambria" w:cstheme="minorHAnsi"/>
          <w:b/>
          <w:sz w:val="24"/>
          <w:szCs w:val="24"/>
          <w:u w:val="single"/>
        </w:rPr>
        <w:t>DO MODO DE DISPUTA FECHADO E ABERTO:</w:t>
      </w:r>
    </w:p>
    <w:p>
      <w:pPr>
        <w:pStyle w:val="PargrafodaLista"/>
        <w:tabs>
          <w:tab w:val="left" w:pos="284"/>
        </w:tabs>
        <w:ind w:left="0"/>
        <w:jc w:val="both"/>
        <w:rPr>
          <w:rFonts w:ascii="Cambria" w:hAnsi="Cambria" w:cstheme="minorHAnsi"/>
          <w:sz w:val="24"/>
          <w:szCs w:val="24"/>
        </w:rPr>
      </w:pPr>
      <w:r>
        <w:rPr>
          <w:rFonts w:ascii="Cambria" w:hAnsi="Cambria" w:cstheme="minorHAnsi"/>
          <w:sz w:val="24"/>
          <w:szCs w:val="24"/>
        </w:rPr>
        <w:t>9.3.4.1. 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p>
    <w:p>
      <w:pPr>
        <w:tabs>
          <w:tab w:val="left" w:pos="284"/>
        </w:tabs>
        <w:jc w:val="both"/>
        <w:rPr>
          <w:rFonts w:ascii="Cambria" w:hAnsi="Cambria" w:cstheme="minorHAnsi"/>
          <w:sz w:val="24"/>
          <w:szCs w:val="24"/>
        </w:rPr>
      </w:pPr>
      <w:r>
        <w:rPr>
          <w:rFonts w:ascii="Cambria" w:hAnsi="Cambria" w:cstheme="minorHAnsi"/>
          <w:b/>
          <w:bCs/>
          <w:sz w:val="24"/>
          <w:szCs w:val="24"/>
        </w:rPr>
        <w:t xml:space="preserve">a) </w:t>
      </w:r>
      <w:r>
        <w:rPr>
          <w:rFonts w:ascii="Cambria" w:hAnsi="Cambria" w:cstheme="minorHAnsi"/>
          <w:sz w:val="24"/>
          <w:szCs w:val="24"/>
        </w:rPr>
        <w:t>Não havendo pelo menos 3 (três) propostas nas condições definidas no item 9.3.4.1, poderão os licitantes que apresentaram as três melhores propostas, consideradas as empatadas, oferecer novos lances sucessivos.</w:t>
      </w:r>
    </w:p>
    <w:p>
      <w:pPr>
        <w:tabs>
          <w:tab w:val="left" w:pos="284"/>
        </w:tabs>
        <w:jc w:val="both"/>
        <w:rPr>
          <w:rFonts w:ascii="Cambria" w:hAnsi="Cambria" w:cstheme="minorHAnsi"/>
          <w:sz w:val="24"/>
          <w:szCs w:val="24"/>
        </w:rPr>
      </w:pPr>
      <w:r>
        <w:rPr>
          <w:rFonts w:ascii="Cambria" w:hAnsi="Cambria" w:cstheme="minorHAnsi"/>
          <w:b/>
          <w:bCs/>
          <w:sz w:val="24"/>
          <w:szCs w:val="24"/>
        </w:rPr>
        <w:t xml:space="preserve">b) </w:t>
      </w:r>
      <w:r>
        <w:rPr>
          <w:rFonts w:ascii="Cambria" w:hAnsi="Cambria" w:cstheme="minorHAnsi"/>
          <w:sz w:val="24"/>
          <w:szCs w:val="24"/>
        </w:rPr>
        <w:t>A etapa de lances da sessão pública terá duração de dez minutos e, após isso, será prorrogada automaticamente pelo sistema quando houver lance ofertado nos últimos dois minutos do período de duração da sessão pública.</w:t>
      </w:r>
    </w:p>
    <w:p>
      <w:pPr>
        <w:tabs>
          <w:tab w:val="left" w:pos="284"/>
        </w:tabs>
        <w:jc w:val="both"/>
        <w:rPr>
          <w:rFonts w:ascii="Cambria" w:hAnsi="Cambria" w:cstheme="minorHAnsi"/>
          <w:sz w:val="24"/>
          <w:szCs w:val="24"/>
        </w:rPr>
      </w:pPr>
      <w:r>
        <w:rPr>
          <w:rFonts w:ascii="Cambria" w:hAnsi="Cambria" w:cstheme="minorHAnsi"/>
          <w:b/>
          <w:bCs/>
          <w:sz w:val="24"/>
          <w:szCs w:val="24"/>
        </w:rPr>
        <w:t xml:space="preserve">c) </w:t>
      </w:r>
      <w:r>
        <w:rPr>
          <w:rFonts w:ascii="Cambria" w:hAnsi="Cambria" w:cstheme="min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tabs>
          <w:tab w:val="left" w:pos="284"/>
        </w:tabs>
        <w:jc w:val="both"/>
        <w:rPr>
          <w:rFonts w:ascii="Cambria" w:hAnsi="Cambria" w:cstheme="minorHAnsi"/>
          <w:sz w:val="24"/>
          <w:szCs w:val="24"/>
        </w:rPr>
      </w:pPr>
      <w:r>
        <w:rPr>
          <w:rFonts w:ascii="Cambria" w:hAnsi="Cambria" w:cstheme="minorHAnsi"/>
          <w:b/>
          <w:bCs/>
          <w:sz w:val="24"/>
          <w:szCs w:val="24"/>
        </w:rPr>
        <w:t xml:space="preserve">d) </w:t>
      </w:r>
      <w:r>
        <w:rPr>
          <w:rFonts w:ascii="Cambria" w:hAnsi="Cambria" w:cstheme="minorHAnsi"/>
          <w:sz w:val="24"/>
          <w:szCs w:val="24"/>
        </w:rPr>
        <w:t>Não havendo novos lances na forma estabelecida nos itens anteriores, a sessão pública encerrar-se-á automaticamente, e o sistema ordenará e divulgará os lances conforme a ordem final de classificação.</w:t>
      </w:r>
    </w:p>
    <w:p>
      <w:pPr>
        <w:tabs>
          <w:tab w:val="left" w:pos="284"/>
        </w:tabs>
        <w:jc w:val="both"/>
        <w:rPr>
          <w:rFonts w:ascii="Cambria" w:hAnsi="Cambria" w:cstheme="minorHAnsi"/>
          <w:sz w:val="24"/>
          <w:szCs w:val="24"/>
        </w:rPr>
      </w:pPr>
      <w:r>
        <w:rPr>
          <w:rFonts w:ascii="Cambria" w:hAnsi="Cambria" w:cstheme="minorHAnsi"/>
          <w:b/>
          <w:bCs/>
          <w:sz w:val="24"/>
          <w:szCs w:val="24"/>
        </w:rPr>
        <w:t xml:space="preserve">e) </w:t>
      </w:r>
      <w:r>
        <w:rPr>
          <w:rFonts w:ascii="Cambria" w:hAnsi="Cambria" w:cstheme="minorHAnsi"/>
          <w:sz w:val="24"/>
          <w:szCs w:val="24"/>
        </w:rPr>
        <w:t>Definida a melhor proposta, se a diferença em relação à proposta classificada em segundo lugar for de pelo menos 5% (cinco por cento), o Agente de Contratação, auxiliado pela equipe de apoio, poderá admitir o reinício da disputa aberta, para a definição das demais colocações.</w:t>
      </w:r>
    </w:p>
    <w:p>
      <w:pPr>
        <w:tabs>
          <w:tab w:val="left" w:pos="284"/>
        </w:tabs>
        <w:jc w:val="both"/>
        <w:rPr>
          <w:rFonts w:ascii="Cambria" w:hAnsi="Cambria" w:cstheme="minorHAnsi"/>
          <w:sz w:val="24"/>
          <w:szCs w:val="24"/>
        </w:rPr>
      </w:pPr>
      <w:r>
        <w:rPr>
          <w:rFonts w:ascii="Cambria" w:hAnsi="Cambria" w:cstheme="minorHAnsi"/>
          <w:b/>
          <w:bCs/>
          <w:sz w:val="24"/>
          <w:szCs w:val="24"/>
        </w:rPr>
        <w:t xml:space="preserve">f) </w:t>
      </w:r>
      <w:r>
        <w:rPr>
          <w:rFonts w:ascii="Cambria" w:hAnsi="Cambria" w:cstheme="minorHAnsi"/>
          <w:sz w:val="24"/>
          <w:szCs w:val="24"/>
        </w:rPr>
        <w:t xml:space="preserve">Após o reinício previsto no subitem supra, os licitantes serão convocados para apresentar lances intermediários. </w:t>
      </w:r>
    </w:p>
    <w:p>
      <w:pPr>
        <w:pStyle w:val="PargrafodaLista"/>
        <w:tabs>
          <w:tab w:val="left" w:pos="851"/>
        </w:tabs>
        <w:ind w:left="0"/>
        <w:jc w:val="both"/>
        <w:rPr>
          <w:rFonts w:ascii="Cambria" w:hAnsi="Cambria" w:cstheme="minorHAnsi"/>
          <w:sz w:val="24"/>
          <w:szCs w:val="24"/>
        </w:rPr>
      </w:pPr>
    </w:p>
    <w:p>
      <w:pPr>
        <w:pStyle w:val="PargrafodaLista"/>
        <w:numPr>
          <w:ilvl w:val="2"/>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ORIENTAÇÕES GERAIS SOBRE OS LANCES:</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 xml:space="preserve">Aberta a etapa competitiva, será considerado como primeiro lance a proposta de preços (inicial). Em seguida os proponentes poderão encaminhar lances exclusivamente por meio da plataforma eletrônica, sendo o proponente imediatamente informado do seu recebimento e respectivo horário de registro e valor. </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Para efeito de lances, o proponente deverá considerar o valor unitário do item.</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Os proponentes poderão ofertar lances sucessivos, desde que inferiores ao seu último lance registrado no Sistema, ainda que este seja maior que o menor lance já ofertado por outro(s) proponente.</w:t>
      </w:r>
    </w:p>
    <w:p>
      <w:pPr>
        <w:pStyle w:val="PargrafodaLista"/>
        <w:numPr>
          <w:ilvl w:val="3"/>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O intervalo mínimo de diferença de valores entre os lances, que incidirá tanto em relação aos lances intermediários quanto em relação à proposta que cobrir a melhor oferta deverá ser de 0,1%, conforme previsto no Art. 57, da lei 14.133/21.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Durante a sessão pública de disputa, os proponentes serão informados, em tempo real, do valor do menor lance registrado. O Sistema não identificará o autor dos lances ao(à) Pregoeiro(a) nem aos demais participantes.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Aberta a etapa competitiva, os representantes dos PROPONENTES deverão estar conectados ao sistema para participar da sessão de lances. É de inteira responsabilidade do proponente se manter conectado ao sistema e acompanhar a fase competitiva.</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Os lances serão ofertados item/lote a item/lote, conforme critério de julgamento definido, podendo, contudo, o Pregoeiro realizar a abertura de mais de um item/lote de forma simultânea.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serão aceitos dois ou mais lances iguais, prevalecendo aquele que for recebido e registrado primeiro.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Quando o preço do item/lote ofertado resultar em um valor unitário que possua mais de 02 (duas) casas decimais, serão consideradas apenas as 02 (duas) primeiras casas decimais (centavos), devendo o Pregoeiro e o proponente vencedor proceder às adequações de preço necessárias, inclusive por ocasião da entrega Proposta de Preços final consolidada.</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Na hipótese de a plataforma eletrônica desconectar para o Pregoeiro no decorrer da etapa de envio de lances da sessão pública e permanecer acessível aos proponentes, os lances continuarão sendo recebidos, sem prejuízo dos atos realizados.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Quando a desconexão da plataforma eletrônica para o Pregoeiro persistir por tempo superior a dez minutos, a sessão pública será suspensa e reiniciada somente decorridas vinte e quatro horas após a comunicação do fato aos participantes, no sítio eletrônico utilizado para divulgação.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Na hipótese dos subitens anteriores, a ocorrência será registrada em campo próprio do sistema.</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Caso o proponente não apresente lances, concorrerá com o valor de sua proposta e, na hipótese de desistência de apresentar outros lances, valerá o último lance por ele ofertado, para efeito de ordenação das propostas.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Sistema informará a proposta de menor preço ao encerrar a fase de disputa. </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Os lances apresentados e levados em consideração para efeito de julgamento serão de exclusiva e total responsabilidade de cada proponente, não lhe cabendo o direito de pleitear qualquer alteração posterior.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Durante a etapa de disputa de lances, o Pregoeiro poderá EXCLUIR qualquer lance cujo valor seja considerado supostamente irrisório ou inexequível, ou até que entenda ter sido lançado erroneamente, cabendo ao sistema o encaminhamento de mensagem automática ao proponente, o qual terá a faculdade de repetir tal lance.</w:t>
      </w:r>
    </w:p>
    <w:p>
      <w:pPr>
        <w:pStyle w:val="PargrafodaLista"/>
        <w:tabs>
          <w:tab w:val="left" w:pos="426"/>
        </w:tabs>
        <w:ind w:left="0"/>
        <w:jc w:val="both"/>
        <w:rPr>
          <w:rFonts w:ascii="Cambria" w:hAnsi="Cambria" w:cstheme="minorHAnsi"/>
          <w:b/>
          <w:bCs/>
          <w:sz w:val="24"/>
          <w:szCs w:val="24"/>
        </w:rPr>
      </w:pPr>
    </w:p>
    <w:p>
      <w:pPr>
        <w:pStyle w:val="PargrafodaLista"/>
        <w:numPr>
          <w:ilvl w:val="1"/>
          <w:numId w:val="5"/>
        </w:numPr>
        <w:shd w:val="clear" w:color="auto" w:fill="F2F2F2"/>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DIREITO DE PREFERÊNCIA E APLICAÇÃO DOS CRITÉRIOS DE DESEMPATE DIREITOS DE PREFERÊNCIA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Após a etapa de envio de lances, haverá a aplicação dos critérios de desempate previstos nos art. 44 e art. 45 da Lei Complementar nº 123, de 14 de dezembro de 2006, seguido da aplicação dos critérios estabelecidos no caput do art. 60º da Lei nº 14.133/2021 de 1º de abril de 2021, se não houver proponente que atenda à primeira hipótese.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Em relação aos itens não exclusivos a Microempresa - ME, Empresas de Pequeno Porte - EPP e equiparadas, uma vez encerrada a etapa de lances, será efetivada a verificação automática, junto à Receita Federal, do porte da entidade empresarial. O sistema identificará em coluna própria as Microempresa - ME, Empresas de Pequeno Porte - EPP e equiparadas participantes, procedendo à comparação com os valores da primeira colocada, se esta for empresa de maior </w:t>
      </w:r>
      <w:r>
        <w:rPr>
          <w:rFonts w:ascii="Cambria" w:hAnsi="Cambria" w:cstheme="minorHAnsi"/>
          <w:sz w:val="24"/>
          <w:szCs w:val="24"/>
        </w:rPr>
        <w:lastRenderedPageBreak/>
        <w:t>porte, assim como das demais classificadas, para o fim de aplicar-se o disposto nos arts. 44 e 45 da LC nº123, de 2006.</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Os critérios de desempate serão aplicados nos termos do item 9.4.10, caso não haja envio de lances após o início da fase competitiva. Nessas condições, as propostas de Microempresa - ME, Empresas de Pequeno Porte - EPP e equiparadas que se encontrarem na faixa de até 5%(cinco por cento) acima da proposta ou lance de menor preço serão consideradas empatadas com a primeira colocada.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A melhor classificada nos termos do item anterior terá o direito de encaminhar uma última oferta para desempate, obrigatoriamente em valor inferior ao da primeira colocada, no prazo de 05 (cinco) minutos controlados pelo sistema, contados após a comunicação automática para tanto.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a microempresa, empresa de pequeno porte ou equiparada melhor classificada desista ou não se manifeste no prazo estabelecido, serão convocadas as demais proponentes microempresa, empresa de pequeno porte e equiparada que se encontrem naquele intervalo de 5% (cinco por cento), na ordem de classificação, para o exercício do mesmo direito, no prazo estabelecido no subitem anterior.</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No caso de equivalência dos valores apresentados pela microempresa, empresa de pequeno porte e equiparados que se encontrem em situação de empate, será realizado sorteio para que se identifique a primeira que poderá apresentar melhor oferta.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Na hipótese de persistir o empate, a proposta vencedora será sorteada pela plataforma eletrônica dentre as propostas empatadas.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Na hipótese de nenhum dos proponentes exercerem o direito de preferência nos moldes descritos no subitem anterior, será mantida a ordem classificatória original.</w:t>
      </w:r>
    </w:p>
    <w:p>
      <w:pPr>
        <w:pStyle w:val="Corpodetexto"/>
        <w:tabs>
          <w:tab w:val="left" w:pos="-1701"/>
        </w:tabs>
        <w:rPr>
          <w:rFonts w:ascii="Cambria" w:hAnsi="Cambria" w:cstheme="minorHAnsi"/>
          <w:b/>
          <w:bCs/>
          <w:sz w:val="24"/>
          <w:szCs w:val="24"/>
        </w:rPr>
      </w:pP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Verificação das condições quanto ao tratamento diferenciado: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Como condição prévia à aceitação da proposta, caso o proponente detentor da proposta classificada em primeiro lugar tenha usufruído do tratamento diferenciado previsto nos artigos 44 e 45 da Lei Complementar n° 123, de 2006, </w:t>
      </w:r>
      <w:bookmarkStart w:id="33" w:name="_Hlk158025711"/>
      <w:r>
        <w:rPr>
          <w:rFonts w:ascii="Cambria" w:hAnsi="Cambria" w:cstheme="minorHAnsi"/>
          <w:sz w:val="24"/>
          <w:szCs w:val="24"/>
        </w:rPr>
        <w:t>o Pregoeiro poderá consultar o Portal da Transparência do Governo Federal (https://www.portaldatransparencia.gov.br/), seção “Despesas – Gastos Diretos do Governo – Favorecido (pessoas físicas, empresas e outros)”, seção “Despesas – Gastos Diretos do Governo – Favorecido (pessoas físicas, empresas e outros)”, bem como no Portal da Transparência dos Municípios do Estado do Ceará (</w:t>
      </w:r>
      <w:hyperlink r:id="rId30" w:history="1">
        <w:r>
          <w:rPr>
            <w:rFonts w:ascii="Cambria" w:hAnsi="Cambria" w:cstheme="minorHAnsi"/>
            <w:sz w:val="24"/>
            <w:szCs w:val="24"/>
          </w:rPr>
          <w:t>http://municipios.tce.ce.gov.br/transparencia/</w:t>
        </w:r>
      </w:hyperlink>
      <w:r>
        <w:rPr>
          <w:rFonts w:ascii="Cambria" w:hAnsi="Cambria" w:cstheme="minorHAnsi"/>
          <w:sz w:val="24"/>
          <w:szCs w:val="24"/>
        </w:rPr>
        <w:t>), para</w:t>
      </w:r>
      <w:bookmarkEnd w:id="33"/>
      <w:r>
        <w:rPr>
          <w:rFonts w:ascii="Cambria" w:hAnsi="Cambria" w:cstheme="minorHAnsi"/>
          <w:sz w:val="24"/>
          <w:szCs w:val="24"/>
        </w:rPr>
        <w:t xml:space="preserve"> verificar se o somatório dos valores das ordens bancárias por ele recebidas, no exercício anterior, extrapola o limite previsto no artigo 3°, inciso II, da Lei Complementar n° 123, de 2006, ou o limite proporcional de que trata o artigo 3°, § 2°, do mesmo diploma, em caso de início de atividade no exercício considerado.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Para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n°123, de 2006.</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Pregoeira poderá consultar o PNCP ou os demais portais citados nos subitens anteriores, para verificar se no ano-calendário de realização da licitação, a empresa ainda não tenham celebrado contratos com a Administração Pública cujos valores somados extrapolem a </w:t>
      </w:r>
      <w:r>
        <w:rPr>
          <w:rFonts w:ascii="Cambria" w:hAnsi="Cambria" w:cstheme="minorHAnsi"/>
          <w:sz w:val="24"/>
          <w:szCs w:val="24"/>
        </w:rPr>
        <w:lastRenderedPageBreak/>
        <w:t>receita bruta máxima admitida para fins de enquadramento como empresa de pequeno porte, conforme disposto no Art. 4°, §2°da Lei 14.133/21.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Constatada a ocorrência de qualquer das situações que extrapolem o limite legal, a Pregoeira indeferirá a aplicação do tratamento diferenciado em favor do proponente, conforme artigo 3°, §§9°, 9°-A,10 e 12, da Lei Complementar n°123, de 2006 e no Art. 4°, §2°da Lei 14.133/21 com a consequente recusa das condições quanto ao tratamento diferenciado, sem prejuízo das penalidades incidentes.</w:t>
      </w:r>
    </w:p>
    <w:p>
      <w:pPr>
        <w:pStyle w:val="Corpodetexto"/>
        <w:tabs>
          <w:tab w:val="left" w:pos="-1701"/>
        </w:tabs>
        <w:rPr>
          <w:rFonts w:ascii="Cambria" w:hAnsi="Cambria" w:cstheme="minorHAnsi"/>
          <w:b/>
          <w:bCs/>
          <w:sz w:val="24"/>
          <w:szCs w:val="24"/>
        </w:rPr>
      </w:pPr>
    </w:p>
    <w:p>
      <w:pPr>
        <w:pStyle w:val="Corpodetexto"/>
        <w:shd w:val="clear" w:color="auto" w:fill="F2F2F2"/>
        <w:tabs>
          <w:tab w:val="left" w:pos="-1701"/>
        </w:tabs>
        <w:jc w:val="center"/>
        <w:rPr>
          <w:rFonts w:ascii="Cambria" w:hAnsi="Cambria" w:cstheme="minorHAnsi"/>
          <w:b/>
          <w:bCs/>
          <w:sz w:val="24"/>
          <w:szCs w:val="24"/>
          <w:u w:val="single"/>
        </w:rPr>
      </w:pPr>
      <w:r>
        <w:rPr>
          <w:rFonts w:ascii="Cambria" w:hAnsi="Cambria" w:cstheme="minorHAnsi"/>
          <w:b/>
          <w:bCs/>
          <w:sz w:val="24"/>
          <w:szCs w:val="24"/>
          <w:u w:val="single"/>
        </w:rPr>
        <w:t>CRITÉRIOS DE DESEMPATE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Havendo eventual empate entre propostas ou lances em que ocorra a aplicação dos CRITÉRIOS DE DESEMPATE E DIREITO DE PREFERÊNCIA fixados no art. 60, caput e seu § 1º, da Lei nº 14.133/2021, respectivamente, deverá ser obedecida as seguintes regras:</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Em caso de empate entre duas ou mais propostas, serão utilizados os seguintes critérios de desempate, nesta ordem:</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Disputa final, hipótese em que os proponentes empatados poderão apresentar nova proposta em ato contínuo à classificação;</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Avaliação do desempenho contratual prévio dos proponentes, para a qual deverão preferencialmente ser utilizados registros cadastrais para efeito de atesto de cumprimento de obrigações previstos nesta Lei;</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Desenvolvimento pelo proponente de ações de equidade entre homens e mulheres no ambiente de trabalho, conforme regulamento;</w:t>
      </w:r>
    </w:p>
    <w:p>
      <w:pPr>
        <w:pStyle w:val="PargrafodaLista"/>
        <w:numPr>
          <w:ilvl w:val="2"/>
          <w:numId w:val="12"/>
        </w:numPr>
        <w:tabs>
          <w:tab w:val="left" w:pos="851"/>
        </w:tabs>
        <w:ind w:left="567" w:firstLine="0"/>
        <w:jc w:val="both"/>
        <w:rPr>
          <w:rFonts w:ascii="Cambria" w:hAnsi="Cambria" w:cstheme="minorHAnsi"/>
          <w:sz w:val="24"/>
          <w:szCs w:val="24"/>
        </w:rPr>
      </w:pPr>
      <w:r>
        <w:rPr>
          <w:rFonts w:ascii="Cambria" w:hAnsi="Cambria" w:cstheme="minorHAnsi"/>
          <w:sz w:val="24"/>
          <w:szCs w:val="24"/>
        </w:rPr>
        <w:t>Desenvolvimento pelo proponente de programa de integridade, conforme orientações dos órgãos de controle.</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Em igualdade de condições, se não houver desempate, será assegurada preferência, sucessivamente, aos bens e serviços produzidos ou prestados por:</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estabelecidas no território do Estado ou do Distrito Federal do órgão ou entidade da Administração Pública estadual ou distrital proponente ou, no caso de licitação realizada por órgão ou entidade de Município, no território do Estado em que este se localize;</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brasileiras;</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que invistam em pesquisa e no desenvolvimento de tecnologia no País;</w:t>
      </w:r>
    </w:p>
    <w:p>
      <w:pPr>
        <w:pStyle w:val="PargrafodaLista"/>
        <w:numPr>
          <w:ilvl w:val="2"/>
          <w:numId w:val="13"/>
        </w:numPr>
        <w:tabs>
          <w:tab w:val="left" w:pos="851"/>
        </w:tabs>
        <w:ind w:left="567" w:firstLine="0"/>
        <w:jc w:val="both"/>
        <w:rPr>
          <w:rFonts w:ascii="Cambria" w:hAnsi="Cambria" w:cstheme="minorHAnsi"/>
          <w:sz w:val="24"/>
          <w:szCs w:val="24"/>
        </w:rPr>
      </w:pPr>
      <w:r>
        <w:rPr>
          <w:rFonts w:ascii="Cambria" w:hAnsi="Cambria" w:cstheme="minorHAnsi"/>
          <w:sz w:val="24"/>
          <w:szCs w:val="24"/>
        </w:rPr>
        <w:t>Empresas que comprovem a prática de mitigação, nos termos da Lei nº 12.187, de 29 de dezembro de 2009.</w:t>
      </w:r>
    </w:p>
    <w:p>
      <w:pPr>
        <w:pStyle w:val="PargrafodaLista"/>
        <w:numPr>
          <w:ilvl w:val="0"/>
          <w:numId w:val="11"/>
        </w:numPr>
        <w:tabs>
          <w:tab w:val="left" w:pos="284"/>
        </w:tabs>
        <w:ind w:left="0" w:firstLine="0"/>
        <w:jc w:val="both"/>
        <w:rPr>
          <w:rFonts w:ascii="Cambria" w:hAnsi="Cambria" w:cstheme="minorHAnsi"/>
          <w:sz w:val="24"/>
          <w:szCs w:val="24"/>
        </w:rPr>
      </w:pPr>
      <w:r>
        <w:rPr>
          <w:rFonts w:ascii="Cambria" w:hAnsi="Cambria" w:cstheme="minorHAnsi"/>
          <w:sz w:val="24"/>
          <w:szCs w:val="24"/>
        </w:rPr>
        <w:t>As regras previstas nas alíneas acima não prejudicarão a aplicação do disposto no art. 44 da Lei Complementar nº 123, de 14 de dezembro de 2006.</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NEGOCIAÇÃO:</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Apurada a proposta/lance classificado em primeiro lugar, o Pregoeiro poderá encaminhar, pela plataforma eletrônica, contra proposta ao proponente para que seja obtido melhor preço, observado o critério de julgamento, não se admitindo negociar condições diferentes daquelas previstas neste Edital.</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negociação será realizada por meio do sistema, podendo ser acompanhada pelos demais proponentes.</w:t>
      </w:r>
    </w:p>
    <w:p>
      <w:pPr>
        <w:pStyle w:val="PargrafodaLista"/>
        <w:numPr>
          <w:ilvl w:val="2"/>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Após a negociação do preço, o Pregoeiro solicitará a proposta de preços final (consolidada) devidamente escoimada do(s) proponente(s) vencedor(es).</w:t>
      </w:r>
    </w:p>
    <w:p>
      <w:pPr>
        <w:pStyle w:val="Corpodetexto"/>
        <w:tabs>
          <w:tab w:val="left" w:pos="-1701"/>
          <w:tab w:val="left" w:pos="809"/>
        </w:tabs>
        <w:autoSpaceDE w:val="0"/>
        <w:autoSpaceDN w:val="0"/>
        <w:adjustRightInd w:val="0"/>
        <w:rPr>
          <w:rFonts w:ascii="Cambria" w:hAnsi="Cambria" w:cstheme="minorHAnsi"/>
          <w:b/>
          <w:bCs/>
          <w:color w:val="FF0000"/>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DA APRESENTAÇÃO DA PROPOSTA DE PREÇOS FINAL (CONSOLIDADA):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Encerrada a fase de lances e ou negociação, depois de declarado aceito o preço proposto quanto ao último lance ou ao valor negociado, o proponente vencedor deverá encaminhar proposta de preços final (consolidada), devidamente assinada, com os preços atualizados, no prazo máximo de até </w:t>
      </w:r>
      <w:r>
        <w:rPr>
          <w:rFonts w:ascii="Cambria" w:hAnsi="Cambria" w:cstheme="minorHAnsi"/>
          <w:b/>
          <w:bCs/>
          <w:sz w:val="24"/>
          <w:szCs w:val="24"/>
        </w:rPr>
        <w:t>02 (duas) horas</w:t>
      </w:r>
      <w:r>
        <w:rPr>
          <w:rFonts w:ascii="Cambria" w:hAnsi="Cambria" w:cstheme="minorHAnsi"/>
          <w:sz w:val="24"/>
          <w:szCs w:val="24"/>
        </w:rPr>
        <w:t>, contado da solicitação do Pregoeiro no sistema.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Esse prazo poderá ser estendido e/ou prorrogado a critério do Pregoeiro ou a pedido da autoridade competente, caso este constate a necessidade de maior tempo para elaboração da proposta de preço adequada.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Proposta de preços final (consolidada) deverá ser apresentada nos mesmos padrões e formalidades exigidas a proposta de preços inicial.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Proposta de Preços final (consolidada) deverá retratar os preços unitários e totais de cada item ao novo valor proposto, atualizados em consonância com o preço obtido após a fase de lance/negociação, podendo, o Pregoeiro confrontá-la ante a proposta de preços (inicial).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não seja possível o enquadramento do último valor global ofertado para o Item e ou lote/grupo quando da formulação da proposta de preços final (consolidada) a proponente poderá fazer a devidas adequações, desde que apresente valores inferiores ao seu próprio último valor ofertado.</w:t>
      </w: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sz w:val="24"/>
          <w:szCs w:val="24"/>
        </w:rPr>
        <w:t xml:space="preserve">A proposta de preços final (consolidada) deverá possuir redução proporcional ao lance ofertado em todos os Itens e ou lotes/grupos, conforme critério de julgamento definido. </w:t>
      </w:r>
    </w:p>
    <w:p>
      <w:pPr>
        <w:pStyle w:val="PargrafodaLista"/>
        <w:ind w:left="0"/>
        <w:jc w:val="both"/>
        <w:rPr>
          <w:rFonts w:ascii="Cambria" w:hAnsi="Cambria" w:cstheme="minorHAnsi"/>
          <w:b/>
          <w:bCs/>
          <w:sz w:val="24"/>
          <w:szCs w:val="24"/>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 xml:space="preserve">OBSERVAÇÃO: </w:t>
      </w:r>
      <w:r>
        <w:rPr>
          <w:rFonts w:ascii="Cambria" w:hAnsi="Cambria" w:cstheme="minorHAnsi"/>
          <w:sz w:val="24"/>
          <w:szCs w:val="24"/>
        </w:rPr>
        <w:t>Não serão aceitas reduções apenas em determinados itens do lote/grupo.</w:t>
      </w:r>
    </w:p>
    <w:p>
      <w:pPr>
        <w:pStyle w:val="PargrafodaLista"/>
        <w:ind w:left="0"/>
        <w:jc w:val="both"/>
        <w:rPr>
          <w:rFonts w:ascii="Cambria" w:hAnsi="Cambria" w:cstheme="minorHAnsi"/>
          <w:b/>
          <w:bCs/>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proponente deverá evitar que os valores globais extrapolem o número de 02 (duas) casas decimais após a vírgula. Caso isto ocorra, o Pregoeiro estará autorizado a adjudicar o objeto realizando arredondamentos a menor no valor cotado.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qualquer momento, o Pregoeiro poderá solicitar parecer, consultas, análises e verificações por parte de técnicos pertencentes ao quadro de pessoal do Município de Miraíma/CE ou da autoridade competente para fins de avaliação da conformidade do objeto cotado às especificações técnicas contidas no Termo de Referência.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DESCLASSIFICADA, por despacho fundamentado, a proposta do licitante que, ressalvadas as situações e procedimentos previstos nos itens 9.6.9.3 e 9.6.9.4deste Edital:</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Deixar de comprovar requisito para fins de exercício de DIREITO DE PREFERÊNCIA (se for o caso);</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Deixar de indicar, anexar ou comprovar as informações exigidas neste Edital (e seus ANEXOS) que prejudiquem a Avaliação da qualidade do objeto proposto;</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Indique objeto que não atenda a todas as exigências de qualidade, amostras e às especificações técnicas contidas no Termo de Referência (anexo 01);</w:t>
      </w:r>
    </w:p>
    <w:p>
      <w:pPr>
        <w:pStyle w:val="PargrafodaLista"/>
        <w:numPr>
          <w:ilvl w:val="3"/>
          <w:numId w:val="16"/>
        </w:numPr>
        <w:tabs>
          <w:tab w:val="left" w:pos="284"/>
        </w:tabs>
        <w:ind w:left="0" w:firstLine="0"/>
        <w:jc w:val="both"/>
        <w:rPr>
          <w:rFonts w:ascii="Cambria" w:hAnsi="Cambria" w:cstheme="minorHAnsi"/>
          <w:sz w:val="24"/>
          <w:szCs w:val="24"/>
        </w:rPr>
      </w:pPr>
      <w:r>
        <w:rPr>
          <w:rFonts w:ascii="Cambria" w:hAnsi="Cambria" w:cstheme="minorHAnsi"/>
          <w:sz w:val="24"/>
          <w:szCs w:val="24"/>
        </w:rPr>
        <w:t>Não contenha a quantidade numérica e unidade métrica exigidas no Termo de Referência (anexo 01).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CLASSIFICADA a proposta que atenda satisfatoriamente a todas as exigências fixadas no Edital e seus ANEXOS, bem como cujo objeto proposto esteja tecnicamente conforme com as especificações mínimas exigidas no Termo de Referência (anexo 01).</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Se a proposta for DESCLASSIFICADA, o Pregoeiro examinará a PROPOSTA SUBSEQUENTE, e assim sucessivamente, na ordem de classificação, até a apuração de uma </w:t>
      </w:r>
      <w:r>
        <w:rPr>
          <w:rFonts w:ascii="Cambria" w:hAnsi="Cambria" w:cstheme="minorHAnsi"/>
          <w:sz w:val="24"/>
          <w:szCs w:val="24"/>
        </w:rPr>
        <w:lastRenderedPageBreak/>
        <w:t>proposta que atenda a este Edital e seus ANEXOS, segundo os procedimentos fixados nos subitens anteriores.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Determinadas informações e formalidades exigidas pelo presente Edital e seus ANEXOS que não afetem a essência da proposta do licitante poderão, a critério do Pregoeiro ou da Autoridade Competente, mediante despacho fundamentado, ser dispensadas ou até mesmo complementadas via sistema (via CHAT) ou da ferramenta "ENVIAR ANEXO" pelo Pregoeiro, a qualquer momento durante a fase de julgamento, no sentido de ampliar a competitividade e atingir a finalidade do certame.</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julgamento das propostas, e considerando o interesse público na maior competitividade possível no certame, o Pregoeiro poderá:</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Solicitar complementação de informações, documentos e ajustes na proposta escrita para fins de atendimentos das exigências legais e editalícias;</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Solicitar ajustes aritméticos e/ou de percentuais e valores da planilha de custo e formação de preços para fins de adequação da proposta às exigências legais e editalícias, vedada majoração do valor global proposto;</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Sanar erros ou falhas que não alterem a substância e nem a validade jurídica das propostas e documentos ANEXOS, mediante despacho fundamentado, registrado em ata e acessível a todos, atribuindo-lhes validade e eficácia para fins de classificação;</w:t>
      </w:r>
    </w:p>
    <w:p>
      <w:pPr>
        <w:pStyle w:val="PargrafodaLista"/>
        <w:numPr>
          <w:ilvl w:val="3"/>
          <w:numId w:val="17"/>
        </w:numPr>
        <w:tabs>
          <w:tab w:val="left" w:pos="284"/>
        </w:tabs>
        <w:ind w:left="0" w:firstLine="0"/>
        <w:jc w:val="both"/>
        <w:rPr>
          <w:rFonts w:ascii="Cambria" w:hAnsi="Cambria" w:cstheme="minorHAnsi"/>
          <w:sz w:val="24"/>
          <w:szCs w:val="24"/>
        </w:rPr>
      </w:pPr>
      <w:r>
        <w:rPr>
          <w:rFonts w:ascii="Cambria" w:hAnsi="Cambria" w:cstheme="minorHAnsi"/>
          <w:sz w:val="24"/>
          <w:szCs w:val="24"/>
        </w:rPr>
        <w:t>Realizar diligências em sítios oficiais e/ou via telefone para fins de complementação de informações acessórias ou que não prejudiquem a segurança da proposta do particular, sendo tudo consignado, via CHAT, na ata dos trabalhos.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Sempre que a proposta não for aceita ou for desclassificada, e antes do Pregoeiro passar à análise da subsequente, poderá haver nova verificação automática, pelo sistema, da eventual ocorrência do empate, previsto nos arts. 44 e 45 da LC nº 123/2006, podendo-se reabrir os procedimentos previstos no item 9.5 deste Edital.</w:t>
      </w:r>
    </w:p>
    <w:p>
      <w:pPr>
        <w:pStyle w:val="Corpodetexto"/>
        <w:tabs>
          <w:tab w:val="left" w:pos="-1701"/>
          <w:tab w:val="left" w:pos="809"/>
        </w:tabs>
        <w:rPr>
          <w:rFonts w:ascii="Cambria" w:hAnsi="Cambria" w:cstheme="minorHAnsi"/>
          <w:b/>
          <w:bCs/>
          <w:sz w:val="24"/>
          <w:szCs w:val="24"/>
        </w:rPr>
      </w:pPr>
    </w:p>
    <w:p>
      <w:pPr>
        <w:pStyle w:val="PargrafodaLista"/>
        <w:numPr>
          <w:ilvl w:val="1"/>
          <w:numId w:val="5"/>
        </w:numPr>
        <w:tabs>
          <w:tab w:val="left" w:pos="426"/>
        </w:tabs>
        <w:ind w:left="0" w:firstLine="0"/>
        <w:jc w:val="both"/>
        <w:rPr>
          <w:rFonts w:ascii="Cambria" w:hAnsi="Cambria" w:cstheme="minorHAnsi"/>
          <w:b/>
          <w:bCs/>
          <w:sz w:val="24"/>
          <w:szCs w:val="24"/>
          <w:u w:val="single"/>
        </w:rPr>
      </w:pPr>
      <w:r>
        <w:rPr>
          <w:rFonts w:ascii="Cambria" w:hAnsi="Cambria" w:cstheme="minorHAnsi"/>
          <w:b/>
          <w:bCs/>
          <w:sz w:val="24"/>
          <w:szCs w:val="24"/>
          <w:u w:val="single"/>
        </w:rPr>
        <w:t xml:space="preserve">DA ACEITABILIDADE DA PROPOSTA: </w:t>
      </w: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Da exequibilidade do lance ou proposta de preços: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ocorrendo situação de recusa com base na hipótese acima, o Pregoeiro examinará a proposta classificada em primeiro lugar quanto ao preço, a sua exequibilidade, bem como quanto ao cumprimento das especificações do objeto.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desclassificada a proposta ou o lance vencedor, apresentar preço final superior ao preço máximo fixado (Acórdão nº 1455/2018 -TCU - Plenário), desconto menor do que o mínimo exigido ou que apresentar preço manifestamente inexequível.</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Se houver indícios de inexequibilidade da proposta de preço, ou em caso da necessidade de esclarecimentos complementares, poderão ser efetuadas diligências, na forma do art. 59, inc. III, Lei nº 14.133/2021 para permitir ao proponente demonstrar a exequibilidade de seu preço. </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Considerar-se-á inexequível a proposta que:</w:t>
      </w:r>
    </w:p>
    <w:p>
      <w:pPr>
        <w:pStyle w:val="Corpodetexto"/>
        <w:numPr>
          <w:ilvl w:val="0"/>
          <w:numId w:val="14"/>
        </w:numPr>
        <w:tabs>
          <w:tab w:val="left" w:pos="-1701"/>
          <w:tab w:val="left" w:pos="284"/>
        </w:tabs>
        <w:ind w:left="0" w:firstLine="0"/>
        <w:rPr>
          <w:rFonts w:ascii="Cambria" w:hAnsi="Cambria" w:cstheme="minorHAnsi"/>
          <w:sz w:val="24"/>
          <w:szCs w:val="24"/>
        </w:rPr>
      </w:pPr>
      <w:r>
        <w:rPr>
          <w:rFonts w:ascii="Cambria" w:hAnsi="Cambria" w:cstheme="minorHAnsi"/>
          <w:sz w:val="24"/>
          <w:szCs w:val="24"/>
        </w:rPr>
        <w:t>Não venha a ter demonstrada sua viabilidade por meio de documentação que comprove que os custos envolvidos na contratação são coerentes com os de mercado do objeto deste Pregão.</w:t>
      </w:r>
    </w:p>
    <w:p>
      <w:pPr>
        <w:pStyle w:val="Corpodetexto"/>
        <w:tabs>
          <w:tab w:val="left" w:pos="-1701"/>
          <w:tab w:val="left" w:pos="809"/>
        </w:tabs>
        <w:rPr>
          <w:rFonts w:ascii="Cambria" w:hAnsi="Cambria" w:cstheme="minorHAnsi"/>
          <w:sz w:val="24"/>
          <w:szCs w:val="24"/>
        </w:rPr>
      </w:pPr>
      <w:r>
        <w:rPr>
          <w:rFonts w:ascii="Cambria" w:hAnsi="Cambria" w:cstheme="minorHAnsi"/>
          <w:sz w:val="24"/>
          <w:szCs w:val="24"/>
        </w:rPr>
        <w:t>a.1) Para efeito de comprovação de sua exequibilidade, podendo-se adotar, dentre outros, os seguintes procedimentos:</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Questionamentos junto à proponente para a apresentação de justificativas e comprovações em relação aos custos com indícios de inexequibilidade;</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lastRenderedPageBreak/>
        <w:t xml:space="preserve">Verificação de acordos coletivos, convenções coletivas ou sentenças normativas em dissídios coletivos de trabalho;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Levantamento de informações junto aos órgãos públicos competentes;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Consultas a entidades ou conselhos de classe, sindicatos ou similares;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Pesquisas em órgãos públicos ou empresas privadas;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Verificação de outros contratos que a proponente mantenha com a Administração ou com a iniciativa privada;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Pesquisa de preço com fornecedores dos insumos utilizados, tais como: atacadistas, lojas de suprimentos, supermercados e fabricantes;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Verificação de notas fiscais dos serviços adquiridos pela proponente;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Levantamento de indicadores salariais ou trabalhistas publicados por órgãos de pesquisa; Estudos setoriais;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Consultas às Secretarias de Fazenda federal, distrital, estadual ou municipal;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 xml:space="preserve">Análise de soluções técnicas escolhidas e/ou condições excepcionalmente favoráveis que a proponente disponha para a prestação dos serviços; </w:t>
      </w:r>
    </w:p>
    <w:p>
      <w:pPr>
        <w:pStyle w:val="Corpodetexto"/>
        <w:numPr>
          <w:ilvl w:val="0"/>
          <w:numId w:val="40"/>
        </w:numPr>
        <w:tabs>
          <w:tab w:val="left" w:pos="-1701"/>
          <w:tab w:val="left" w:pos="426"/>
        </w:tabs>
        <w:ind w:left="426" w:hanging="66"/>
        <w:rPr>
          <w:rFonts w:ascii="Cambria" w:hAnsi="Cambria" w:cstheme="minorHAnsi"/>
          <w:sz w:val="24"/>
          <w:szCs w:val="24"/>
        </w:rPr>
      </w:pPr>
      <w:r>
        <w:rPr>
          <w:rFonts w:ascii="Cambria" w:hAnsi="Cambria" w:cstheme="minorHAnsi"/>
          <w:sz w:val="24"/>
          <w:szCs w:val="24"/>
        </w:rPr>
        <w:t>Demais verificações que porventura se fizerem necessárias.</w:t>
      </w:r>
    </w:p>
    <w:p>
      <w:pPr>
        <w:pStyle w:val="Corpodetexto"/>
        <w:tabs>
          <w:tab w:val="left" w:pos="-1701"/>
          <w:tab w:val="left" w:pos="809"/>
        </w:tabs>
        <w:rPr>
          <w:rFonts w:ascii="Cambria" w:hAnsi="Cambria" w:cstheme="minorHAnsi"/>
          <w:sz w:val="24"/>
          <w:szCs w:val="24"/>
        </w:rPr>
      </w:pPr>
    </w:p>
    <w:p>
      <w:pPr>
        <w:pStyle w:val="Corpodetexto"/>
        <w:numPr>
          <w:ilvl w:val="0"/>
          <w:numId w:val="14"/>
        </w:numPr>
        <w:tabs>
          <w:tab w:val="left" w:pos="-1701"/>
          <w:tab w:val="left" w:pos="284"/>
        </w:tabs>
        <w:ind w:left="0" w:firstLine="0"/>
        <w:rPr>
          <w:rFonts w:ascii="Cambria" w:hAnsi="Cambria" w:cstheme="minorHAnsi"/>
          <w:sz w:val="24"/>
          <w:szCs w:val="24"/>
        </w:rPr>
      </w:pPr>
      <w:r>
        <w:rPr>
          <w:rFonts w:ascii="Cambria" w:hAnsi="Cambria" w:cstheme="minorHAnsi"/>
          <w:sz w:val="24"/>
          <w:szCs w:val="24"/>
        </w:rPr>
        <w:t>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pPr>
        <w:pStyle w:val="Corpodetexto"/>
        <w:tabs>
          <w:tab w:val="left" w:pos="-1701"/>
          <w:tab w:val="left" w:pos="809"/>
        </w:tabs>
        <w:rPr>
          <w:rFonts w:ascii="Cambria" w:hAnsi="Cambria" w:cstheme="minorHAnsi"/>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considerada inexequível a proposta de preços que não tiver a sua exequibilidade comprovada e, ainda, a que apresente preços globais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proponente, para os quais ele renuncie a parcela ou a totalidade da remuneração.</w:t>
      </w:r>
    </w:p>
    <w:p>
      <w:pPr>
        <w:pStyle w:val="Corpodetexto"/>
        <w:tabs>
          <w:tab w:val="left" w:pos="-1701"/>
          <w:tab w:val="left" w:pos="809"/>
        </w:tabs>
        <w:rPr>
          <w:rFonts w:ascii="Cambria" w:hAnsi="Cambria" w:cstheme="minorHAnsi"/>
          <w:sz w:val="24"/>
          <w:szCs w:val="24"/>
        </w:rPr>
      </w:pPr>
    </w:p>
    <w:p>
      <w:pPr>
        <w:pStyle w:val="PargrafodaLista"/>
        <w:numPr>
          <w:ilvl w:val="2"/>
          <w:numId w:val="5"/>
        </w:numPr>
        <w:ind w:left="0" w:firstLine="0"/>
        <w:jc w:val="both"/>
        <w:rPr>
          <w:rFonts w:ascii="Cambria" w:hAnsi="Cambria" w:cstheme="minorHAnsi"/>
          <w:b/>
          <w:bCs/>
          <w:sz w:val="24"/>
          <w:szCs w:val="24"/>
        </w:rPr>
      </w:pPr>
      <w:r>
        <w:rPr>
          <w:rFonts w:ascii="Cambria" w:hAnsi="Cambria" w:cstheme="minorHAnsi"/>
          <w:b/>
          <w:bCs/>
          <w:sz w:val="24"/>
          <w:szCs w:val="24"/>
        </w:rPr>
        <w:t>Da convocação para apresentação de documentos complementares a proposta de preços: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poderá convocar o proponente para enviar documento digital, por meio de funcionalidade disponível no sistema, estabelecendo no “chat” prazo razoável para tanto, sob pena de não aceitação da proposta.</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Dentre os documentos passíveis de solicitação pelo Pregoeiro, destacam-se os que contenham as características do material ofertado, em compatibilidade como Termo de Referência, minudenciando o modelo, tipo, procedência, garantia ou validade, além de outras informações pertinentes, a exemplo de catálogos, folhetos ou propostas.</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prazo estabelecido pelo Pregoeiro poderá ser prorrogado por solicitação escrita e justificada do proponente, formulada antes de findo o prazo estabelecido, e formalmente aceita pelo Pregoeiro.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 a proposta de preços final (consolidada) da proponente vencedora for desclassificada, o Pregoeiro examinará a proposta subsequente, inclusive quanto aos tramites afeitos a negociação, e, assim sucessivamente, na ordem de classificação, até a apuração de uma proposta que atenda ao Edital.</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Nos itens não exclusivos a Microempresa - ME, Empresas de Pequeno Porte - EPP e equiparadas, sempre que a proposta não for aceita, e antes de a Pregoeira passar à subsequente, haverá nova verificação, pelo sistema, da eventual ocorrência do empate ficto, previsto nos artigos 44 e 45 da LC nº 123, de 2006, seguindo-se a disciplina antes estabelecida, se for o caso.</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Também nas hipóteses em que o Pregoeiro não aceitar a proposta e passar à subsequente, poderá negociar com o proponente para que seja obtido preço melhor.</w:t>
      </w:r>
    </w:p>
    <w:p>
      <w:pPr>
        <w:pStyle w:val="PargrafodaLista"/>
        <w:numPr>
          <w:ilvl w:val="3"/>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poderá, no julgamento das propostas, sanar erros ou falhas que não alterem a substância das propostas, e sua validade jurídica, mediante decisão fundamentada, registrada em ata e acessível aos proponentes, e lhes atribuirá validade e eficácia para fins de classificação, observado o disposto na Lei nº 9.784, de 29 de janeiro de 1999.</w:t>
      </w:r>
    </w:p>
    <w:p>
      <w:pPr>
        <w:pStyle w:val="PargrafodaLista"/>
        <w:tabs>
          <w:tab w:val="left" w:pos="851"/>
        </w:tabs>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VERIFICAÇÃO DAS CONDIÇÕES DE PARTICIPAÇÃO: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Encerrada a etapa de disputa de lances e envio de proposta de preços final (consolidada), o Pregoeiro verificará o cumprimento das condições de participação, realizando as seguintes consultas/diligências necessárias, a partir da ordem de classificação e apenas em relação à(s) proponentes mais bem classificada(s) por item e ou lote/grupo:</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Situação do Fornecedor e Relatório de Ocorrências (impedimentos, suspensões, multas, etc.) registrados no Sistema de Cadastramento Unificado de Fornecedores (SICAF);</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Cadastro Consolidado de Pessoa Jurídica do TCU, no Cadastro Nacional de Empresas Inidôneas (CEIS) e no Cadastro Nacional de Empresas Punidas (CNEP);</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ao Cadastro Nacional de Pessoa Jurídica (CNPJ), mantido pela Receita Federal do Brasil;</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Consulta ao site do Tribunal Superior do Trabalho para fins de identificação da eventual existência de condenação judicial, com trânsito em julgado, por exploração de trabalho infantil, por submissão de trabalhadores a condições análogas às de escravo ou por contratação de adolescentes nos casos vedados pela legislação trabalhista;</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Verificação de que o proponente esteja enquadrado nas situações constantes do item 3.1 deste Edital;</w:t>
      </w:r>
    </w:p>
    <w:p>
      <w:pPr>
        <w:pStyle w:val="PargrafodaLista"/>
        <w:numPr>
          <w:ilvl w:val="1"/>
          <w:numId w:val="15"/>
        </w:numPr>
        <w:tabs>
          <w:tab w:val="left" w:pos="284"/>
        </w:tabs>
        <w:ind w:left="0" w:firstLine="0"/>
        <w:jc w:val="both"/>
        <w:rPr>
          <w:rFonts w:ascii="Cambria" w:hAnsi="Cambria" w:cstheme="minorHAnsi"/>
          <w:sz w:val="24"/>
          <w:szCs w:val="24"/>
        </w:rPr>
      </w:pPr>
      <w:r>
        <w:rPr>
          <w:rFonts w:ascii="Cambria" w:hAnsi="Cambria" w:cstheme="minorHAnsi"/>
          <w:sz w:val="24"/>
          <w:szCs w:val="24"/>
        </w:rPr>
        <w:t>Verificação de que o proponente não esteja enquadrado nas situações constantes do item 3.2 deste Edital;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Não cumpridas quaisquer das condições de participação, o Pregoeiro desclassificará a proposta do proponente, sendo este impedido de prosseguir no certame, por decisão fundamentada, devidamente registrada no campo DESCLASSIFICAÇÃO da plataforma eletrônica “COMPRAS GOV”, no site </w:t>
      </w:r>
      <w:hyperlink r:id="rId31" w:history="1">
        <w:r>
          <w:rPr>
            <w:rStyle w:val="Hyperlink"/>
            <w:rFonts w:ascii="Cambria" w:hAnsi="Cambria" w:cstheme="minorHAnsi"/>
            <w:sz w:val="24"/>
            <w:szCs w:val="24"/>
          </w:rPr>
          <w:t>www.compras.gov.br</w:t>
        </w:r>
      </w:hyperlink>
      <w:r>
        <w:rPr>
          <w:rFonts w:ascii="Cambria" w:hAnsi="Cambria" w:cstheme="minorHAnsi"/>
          <w:sz w:val="24"/>
          <w:szCs w:val="24"/>
        </w:rPr>
        <w:t>.</w:t>
      </w:r>
    </w:p>
    <w:p>
      <w:pPr>
        <w:pStyle w:val="PargrafodaLista"/>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HABILITAÇÃO: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Estando o(s) proponente(s) classificados, o Pregoeiro o convocará em ordem de classificação, via COMPRAS GOV no site www.compras.gov.br, para fins de encaminhamento/anexação da DOCUMENTAÇÃO DE HABILITAÇÃO, por meio da opção "ENVIAR ANEXO", no prazo de até </w:t>
      </w:r>
      <w:r>
        <w:rPr>
          <w:rFonts w:ascii="Cambria" w:hAnsi="Cambria" w:cstheme="minorHAnsi"/>
          <w:b/>
          <w:bCs/>
          <w:sz w:val="24"/>
          <w:szCs w:val="24"/>
        </w:rPr>
        <w:t>02h (duas horas),</w:t>
      </w:r>
      <w:r>
        <w:rPr>
          <w:rFonts w:ascii="Cambria" w:hAnsi="Cambria" w:cstheme="minorHAnsi"/>
          <w:sz w:val="24"/>
          <w:szCs w:val="24"/>
        </w:rPr>
        <w:t xml:space="preserve"> contados a partir da convocação do Pregoeiro, podendo ser prorrogado a requerimento do interessado e/ou a critério do Pregoeiro.</w:t>
      </w:r>
    </w:p>
    <w:p>
      <w:pPr>
        <w:pStyle w:val="PargrafodaLista"/>
        <w:numPr>
          <w:ilvl w:val="2"/>
          <w:numId w:val="5"/>
        </w:numPr>
        <w:ind w:left="0" w:firstLine="0"/>
        <w:jc w:val="both"/>
        <w:rPr>
          <w:rFonts w:ascii="Cambria" w:hAnsi="Cambria" w:cstheme="minorHAnsi"/>
          <w:sz w:val="24"/>
          <w:szCs w:val="24"/>
        </w:rPr>
      </w:pPr>
      <w:r>
        <w:rPr>
          <w:rFonts w:ascii="Cambria" w:eastAsia="Calibri" w:hAnsi="Cambria" w:cstheme="minorHAnsi"/>
          <w:color w:val="000000"/>
          <w:sz w:val="24"/>
          <w:szCs w:val="24"/>
        </w:rPr>
        <w:t xml:space="preserve">Após a entrega dos documentos para habilitação, não será permitida a substituição ou a apresentação de novos documentos, salvo em sede de diligência, para: </w:t>
      </w:r>
    </w:p>
    <w:p>
      <w:pPr>
        <w:autoSpaceDE w:val="0"/>
        <w:autoSpaceDN w:val="0"/>
        <w:adjustRightInd w:val="0"/>
        <w:jc w:val="both"/>
        <w:rPr>
          <w:rFonts w:ascii="Cambria" w:hAnsi="Cambria" w:cstheme="minorHAnsi"/>
          <w:color w:val="000000"/>
          <w:sz w:val="24"/>
          <w:szCs w:val="24"/>
        </w:rPr>
      </w:pPr>
      <w:r>
        <w:rPr>
          <w:rFonts w:ascii="Cambria" w:hAnsi="Cambria" w:cstheme="minorHAnsi"/>
          <w:color w:val="000000"/>
          <w:sz w:val="24"/>
          <w:szCs w:val="24"/>
        </w:rPr>
        <w:t xml:space="preserve">a) complementação de informações acerca dos documentos já apresentados pelos licitantes e desde que necessária para apurar fatos existentes à época da abertura do certame; </w:t>
      </w:r>
    </w:p>
    <w:p>
      <w:pPr>
        <w:pStyle w:val="PargrafodaLista"/>
        <w:ind w:left="0"/>
        <w:jc w:val="both"/>
        <w:rPr>
          <w:rFonts w:ascii="Cambria" w:eastAsia="Calibri" w:hAnsi="Cambria" w:cstheme="minorHAnsi"/>
          <w:color w:val="000000"/>
          <w:sz w:val="24"/>
          <w:szCs w:val="24"/>
          <w:lang w:eastAsia="en-US"/>
        </w:rPr>
      </w:pPr>
      <w:r>
        <w:rPr>
          <w:rFonts w:ascii="Cambria" w:eastAsia="Calibri" w:hAnsi="Cambria" w:cstheme="minorHAnsi"/>
          <w:color w:val="000000"/>
          <w:sz w:val="24"/>
          <w:szCs w:val="24"/>
          <w:lang w:eastAsia="en-US"/>
        </w:rPr>
        <w:lastRenderedPageBreak/>
        <w:t>b) atualização de documentos cuja validade tenha expirado após a data de recebimento das propostas.</w:t>
      </w:r>
    </w:p>
    <w:p>
      <w:pPr>
        <w:pStyle w:val="PargrafodaLista"/>
        <w:ind w:left="0"/>
        <w:jc w:val="both"/>
        <w:rPr>
          <w:rFonts w:ascii="Cambria" w:eastAsia="Calibri" w:hAnsi="Cambria" w:cstheme="minorHAnsi"/>
          <w:color w:val="000000"/>
          <w:sz w:val="24"/>
          <w:szCs w:val="24"/>
          <w:lang w:eastAsia="en-US"/>
        </w:rPr>
      </w:pPr>
    </w:p>
    <w:p>
      <w:pPr>
        <w:pStyle w:val="PargrafodaLista"/>
        <w:pBdr>
          <w:top w:val="dashSmallGap" w:sz="12" w:space="1" w:color="FF0000"/>
          <w:left w:val="dashSmallGap" w:sz="12" w:space="4" w:color="FF0000"/>
          <w:bottom w:val="dashSmallGap" w:sz="12" w:space="1" w:color="FF0000"/>
          <w:right w:val="dashSmallGap" w:sz="12" w:space="4" w:color="FF0000"/>
        </w:pBdr>
        <w:tabs>
          <w:tab w:val="left" w:pos="426"/>
        </w:tabs>
        <w:ind w:left="142"/>
        <w:jc w:val="both"/>
        <w:rPr>
          <w:rFonts w:ascii="Cambria" w:hAnsi="Cambria" w:cstheme="minorHAnsi"/>
          <w:sz w:val="24"/>
          <w:szCs w:val="24"/>
        </w:rPr>
      </w:pPr>
      <w:r>
        <w:rPr>
          <w:rFonts w:ascii="Cambria" w:hAnsi="Cambria" w:cstheme="minorHAnsi"/>
          <w:b/>
          <w:bCs/>
          <w:sz w:val="24"/>
          <w:szCs w:val="24"/>
        </w:rPr>
        <w:t xml:space="preserve">OBSERVAÇÃO: </w:t>
      </w:r>
      <w:r>
        <w:rPr>
          <w:rFonts w:ascii="Cambria" w:hAnsi="Cambria" w:cstheme="minorHAnsi"/>
          <w:sz w:val="24"/>
          <w:szCs w:val="24"/>
        </w:rPr>
        <w:t>Conforme entendimento firmado pelo TCU, originário do Acórdão nº 2.443/2021 – Plenário, a vedação no art. 64 da Lei 14.133/2021 não alcança documentos destinados a atestar condições de habilitação preexistentes à abertura da sessão pública que não foram anexados ao “COMPRAS GOV”, no site www.compras.gov.br. No momento oportuno, de forma que PODERÁ o Pregoeiro diligenciar para permitir tal COMPLEMENTAÇÃO DE DOCUMENTOS).</w:t>
      </w:r>
    </w:p>
    <w:p>
      <w:pPr>
        <w:pStyle w:val="PargrafodaLista"/>
        <w:ind w:left="0"/>
        <w:jc w:val="both"/>
        <w:rPr>
          <w:rFonts w:ascii="Cambria" w:hAnsi="Cambria" w:cstheme="minorHAnsi"/>
          <w:sz w:val="24"/>
          <w:szCs w:val="24"/>
        </w:rPr>
      </w:pP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Os documentos necessários a Habilitação do(s) proponente(s) classificado(s) serão os definidos no Termo de Referência (anexo 01).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Será acessado o banco de dados do SICAF, para fins de consulta do cadastro do(s) licitante(s) classificado(s) em primeiro lugar, verificando-se a habilitação parcial de cada licitante, sendo impresso o extrato que integrará a documentação de habilitação do(s) licitante(s).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Além da regularidade da documentação já abrangida pelo SICAF, serão visualizadas e impressas as declarações eletrônicas para fins de cumprimento do exigido no subitem 8.2deste Edital.</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Para fins de julgamento da habilitação, poderá haver a verificação em sítios oficiais de órgãos e entidades emissores de certidões e/ou documentos diversos como forma de provar a autenticidade dos documentos/certidões e regularidade do licitante, ou até para fins de obtenção de certidões e informações, sendo comprovadas nos autos tais diligências.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Caso o licitante não esteja regularmente cadastrado no SICAF ou esteja com alguma certidão com prazo de validade vencido, poderá o Pregoeiro e/ou a equipe de apoio realizar diligências eletrônicas diretamente nos sítios oficiais.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Pregoeiro poderá solicitar subsídio técnico à unidade técnica Demandante ou ao Órgão Gerenciador do procedimento, bem como, aos setores técnicos especializados, para fins de avaliação da conformidade da documentação de habilitação técnica e qualificação econômico-financeira em relação as exigências contidas no edital (e seus anexos).</w:t>
      </w:r>
    </w:p>
    <w:p>
      <w:pPr>
        <w:pStyle w:val="PargrafodaLista"/>
        <w:numPr>
          <w:ilvl w:val="2"/>
          <w:numId w:val="5"/>
        </w:numPr>
        <w:tabs>
          <w:tab w:val="left" w:pos="993"/>
        </w:tabs>
        <w:ind w:left="0" w:firstLine="0"/>
        <w:jc w:val="both"/>
        <w:rPr>
          <w:rFonts w:ascii="Cambria" w:hAnsi="Cambria" w:cstheme="minorHAnsi"/>
          <w:sz w:val="24"/>
          <w:szCs w:val="24"/>
        </w:rPr>
      </w:pPr>
      <w:r>
        <w:rPr>
          <w:rFonts w:ascii="Cambria" w:hAnsi="Cambria" w:cstheme="minorHAnsi"/>
          <w:sz w:val="24"/>
          <w:szCs w:val="24"/>
        </w:rPr>
        <w:t>Poderá ser INABILITADO o licitante que:</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Deixar de encaminhar ou de apresentar quaisquer dos documentos de habilitação exigidos no Termo de Referência deste Edital;</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Apresentar CERTIDÃO ou outro documento com prazo de validade vencido;</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Apresentar quaisquer documentos em desacordo com este Edital;</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Não contenha em seu ato constitutivo atividade econômica compatível com o objeto da presente licitação;</w:t>
      </w:r>
    </w:p>
    <w:p>
      <w:pPr>
        <w:pStyle w:val="PargrafodaLista"/>
        <w:numPr>
          <w:ilvl w:val="2"/>
          <w:numId w:val="18"/>
        </w:numPr>
        <w:tabs>
          <w:tab w:val="left" w:pos="284"/>
        </w:tabs>
        <w:ind w:left="0" w:firstLine="0"/>
        <w:jc w:val="both"/>
        <w:rPr>
          <w:rFonts w:ascii="Cambria" w:hAnsi="Cambria" w:cstheme="minorHAnsi"/>
          <w:sz w:val="24"/>
          <w:szCs w:val="24"/>
        </w:rPr>
      </w:pPr>
      <w:r>
        <w:rPr>
          <w:rFonts w:ascii="Cambria" w:hAnsi="Cambria" w:cstheme="minorHAnsi"/>
          <w:sz w:val="24"/>
          <w:szCs w:val="24"/>
        </w:rPr>
        <w:t>Não comprove exigência(s) de habilitação prevista neste Edital e seus anexos.</w:t>
      </w:r>
    </w:p>
    <w:p>
      <w:pPr>
        <w:pStyle w:val="PargrafodaLista"/>
        <w:ind w:left="0"/>
        <w:jc w:val="both"/>
        <w:rPr>
          <w:rFonts w:ascii="Cambria" w:hAnsi="Cambria" w:cstheme="minorHAnsi"/>
          <w:sz w:val="24"/>
          <w:szCs w:val="24"/>
        </w:rPr>
      </w:pP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Sendo o licitante Microempresa - ME, Empresas de Pequeno Porte - EPP e equiparadas, não será motivo de INABILITAÇÃO a existência de restrições na sua HABILITAÇÃO FISCAL E TRABALHISTA, sendo observado o seguinte procedimento:</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t>Será o licitante DECLARADO HABILITADO no certame para fins de posterior regularização, nos termos definidos na Lei Complementar nº 123/2006.</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lastRenderedPageBreak/>
        <w:t xml:space="preserve">Será assegurado o prazo de </w:t>
      </w:r>
      <w:r>
        <w:rPr>
          <w:rFonts w:ascii="Cambria" w:hAnsi="Cambria" w:cstheme="minorHAnsi"/>
          <w:b/>
          <w:bCs/>
          <w:sz w:val="24"/>
          <w:szCs w:val="24"/>
        </w:rPr>
        <w:t>05 (cinco) dias úteis</w:t>
      </w:r>
      <w:r>
        <w:rPr>
          <w:rFonts w:ascii="Cambria" w:hAnsi="Cambria" w:cstheme="minorHAnsi"/>
          <w:sz w:val="24"/>
          <w:szCs w:val="24"/>
        </w:rPr>
        <w:t>, cujo termo inicial corresponderá ao momento da convocação para assinatura do termo de contrato, prorrogáveis por igual período a critério da Administração, para a regularização da documentação, pagamento ou parcelamento do débito, e emissão de eventuais certidões, visando levantar a(s) restrição(ões)identificada(s) na fase de habilitação.</w:t>
      </w:r>
    </w:p>
    <w:p>
      <w:pPr>
        <w:pStyle w:val="PargrafodaLista"/>
        <w:numPr>
          <w:ilvl w:val="2"/>
          <w:numId w:val="19"/>
        </w:numPr>
        <w:tabs>
          <w:tab w:val="left" w:pos="284"/>
        </w:tabs>
        <w:ind w:left="0" w:firstLine="0"/>
        <w:jc w:val="both"/>
        <w:rPr>
          <w:rFonts w:ascii="Cambria" w:hAnsi="Cambria" w:cstheme="minorHAnsi"/>
          <w:sz w:val="24"/>
          <w:szCs w:val="24"/>
        </w:rPr>
      </w:pPr>
      <w:r>
        <w:rPr>
          <w:rFonts w:ascii="Cambria" w:hAnsi="Cambria" w:cstheme="minorHAnsi"/>
          <w:sz w:val="24"/>
          <w:szCs w:val="24"/>
        </w:rPr>
        <w:t>A não regularização da situação fiscal no prazo fixado na alínea anterior acarretará na decadência do direito à contratação, sendo facultado à PREFEITURA MUNICIPAL DE MIRAÍMA/CE convocar os licitantes remanescentes na ordem de classificação para firmamento do contrato.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julgamento da habilitação, poderá o Pregoeiro adotar os procedimentos, diligências e decisões que visem sanar erros ou falhas que não prejudiquem a validade e segurança jurídica da documentação apresentada.</w:t>
      </w:r>
    </w:p>
    <w:p>
      <w:pPr>
        <w:jc w:val="both"/>
        <w:rPr>
          <w:rFonts w:ascii="Cambria" w:hAnsi="Cambria" w:cstheme="minorHAnsi"/>
          <w:b/>
          <w:bCs/>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FASE DE RECURSOS: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Declarado o(s) vencedor(es), o Pregoeiro abrirá prazo mínimo de </w:t>
      </w:r>
      <w:r>
        <w:rPr>
          <w:rFonts w:ascii="Cambria" w:hAnsi="Cambria" w:cstheme="minorHAnsi"/>
          <w:b/>
          <w:bCs/>
          <w:sz w:val="24"/>
          <w:szCs w:val="24"/>
        </w:rPr>
        <w:t>30 (trinta) minutos</w:t>
      </w:r>
      <w:r>
        <w:rPr>
          <w:rFonts w:ascii="Cambria" w:hAnsi="Cambria" w:cstheme="minorHAnsi"/>
          <w:sz w:val="24"/>
          <w:szCs w:val="24"/>
        </w:rPr>
        <w:t>, durante esse período qualquer licitante poderá, de forma imediata e motivada, em campo próprio do sistema, manifestar sua INTENÇÃO DE RECORRER com registro da síntese de suas razões, isto é, indicando contra qual(is) decisão(ões) pretende recorrer e por qual(is) motivo(s).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RECURSO ADMINISTRATIVO poderá atacar qualquer ato decisório ou procedimento adotado pelo Pregoeiro ou pela autoridade competente a qual resultou em deliberação ao julgamento, durante todo o certame, não sendo meio adequado para impugnar regras do edital e seus anexos.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Havendo registro de INTENÇÃO DE RECURSO, o Pregoeiro fará JUÍZO DE ADMISSIBILIDADE da intenção de recorrer manifestada, aceitando-a ou, motivadamente, rejeitando-a, em campo próprio do sistema, em razão da não observância dos pressupostos recursais de admissibilidade.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Será rejeitada a INTENÇÃO DE RECURSO de caráter protelatório que:</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registrada por quem não tenha legítimo interesse;</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intempestiva;</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Não ataque ato decisório ou procedimental praticado pelo Pregoeiro no certame; e/ou</w:t>
      </w:r>
    </w:p>
    <w:p>
      <w:pPr>
        <w:pStyle w:val="PargrafodaLista"/>
        <w:numPr>
          <w:ilvl w:val="2"/>
          <w:numId w:val="20"/>
        </w:numPr>
        <w:tabs>
          <w:tab w:val="left" w:pos="284"/>
        </w:tabs>
        <w:ind w:left="0" w:firstLine="0"/>
        <w:jc w:val="both"/>
        <w:rPr>
          <w:rFonts w:ascii="Cambria" w:hAnsi="Cambria" w:cstheme="minorHAnsi"/>
          <w:sz w:val="24"/>
          <w:szCs w:val="24"/>
        </w:rPr>
      </w:pPr>
      <w:r>
        <w:rPr>
          <w:rFonts w:ascii="Cambria" w:hAnsi="Cambria" w:cstheme="minorHAnsi"/>
          <w:sz w:val="24"/>
          <w:szCs w:val="24"/>
        </w:rPr>
        <w:t>Seja fundamentada em mera insatisfação do licitante, sem que haja a explícita alegação de qualquer fato prejudicial ao mesmo ou que tenha ocorrido alfo em desconformidade com o presente Edital e/ou com a legislação vigente.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recorrente que tiver sua intenção de recurso aceita terá o prazo de até </w:t>
      </w:r>
      <w:r>
        <w:rPr>
          <w:rFonts w:ascii="Cambria" w:hAnsi="Cambria" w:cstheme="minorHAnsi"/>
          <w:b/>
          <w:bCs/>
          <w:sz w:val="24"/>
          <w:szCs w:val="24"/>
        </w:rPr>
        <w:t xml:space="preserve">03 (três) dias </w:t>
      </w:r>
      <w:r>
        <w:rPr>
          <w:rFonts w:ascii="Cambria" w:hAnsi="Cambria" w:cstheme="minorHAnsi"/>
          <w:sz w:val="24"/>
          <w:szCs w:val="24"/>
        </w:rPr>
        <w:t>para apresentar os memoriais contendo as razões recursais, obrigatoriamente por meio de registro no sistema e, havendo imagens, ilustrações e demais informações não suportadas pela plataforma, também deverão ser enviados via e-mail constante do quadro resumo deste edital, ficando as demais licitantes, desde logo o protocolo na Plataforma do “COMPRAS GOV”, no site www.compras.gov.br., intimadas a apresentar contrarrazões, também via sistema e e-mail, no caso da situação anterior, em igual prazo, que começará a correr do término do prazo da recorrente.</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Para justificar sua intenção de recorrer e fundamentar suas razões ou contrarrazões de recurso, o licitante interessado poderá solicitar vistas dos autos ou consultar as informações do certame disponíveis na própria plataforma eletrônica do Compras Gov no site www.compras.gov.br.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lastRenderedPageBreak/>
        <w:t>Decorridos os prazos de apresentação de razões e contrarrazões, o Pregoeiro deverá analisar fundamentadamente os fatos e fundamentos arguidos pelo(s) recorrente(s), podendo, em sede de juízo de retratação:</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Reconsiderar, total ou parcialmente, a decisão recorrida, reformando-a; ou,</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Manter inalterada a decisão recorrida.</w:t>
      </w:r>
    </w:p>
    <w:p>
      <w:pPr>
        <w:pStyle w:val="PargrafodaLista"/>
        <w:numPr>
          <w:ilvl w:val="2"/>
          <w:numId w:val="21"/>
        </w:numPr>
        <w:tabs>
          <w:tab w:val="left" w:pos="284"/>
        </w:tabs>
        <w:ind w:left="0" w:firstLine="0"/>
        <w:jc w:val="both"/>
        <w:rPr>
          <w:rFonts w:ascii="Cambria" w:hAnsi="Cambria" w:cstheme="minorHAnsi"/>
          <w:sz w:val="24"/>
          <w:szCs w:val="24"/>
        </w:rPr>
      </w:pPr>
      <w:r>
        <w:rPr>
          <w:rFonts w:ascii="Cambria" w:hAnsi="Cambria" w:cstheme="minorHAnsi"/>
          <w:sz w:val="24"/>
          <w:szCs w:val="24"/>
        </w:rPr>
        <w:t>Baixar em diligência os autos para fins de pronunciamento, solicitar informações, parecer técnicos ou demais informações da área técnica interessada/responsável e/ou jurídico para fins de proclamação de decisão, sobretudo quando o mérito recursal não versar sobre ato, decisão ou incumbência as quais não são de competência do Pregoeiro.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Caso não haja a reconsideração total do ato ou decisão adotada, os memoriais de razões recursais deverão ser submetidos, depois de devidamente instruído pelo Pregoeiro, à análise hierárquica superior para fins de decisão final, podendo a autoridade competente do procedimento:</w:t>
      </w:r>
    </w:p>
    <w:p>
      <w:pPr>
        <w:pStyle w:val="PargrafodaLista"/>
        <w:numPr>
          <w:ilvl w:val="2"/>
          <w:numId w:val="22"/>
        </w:numPr>
        <w:tabs>
          <w:tab w:val="left" w:pos="284"/>
        </w:tabs>
        <w:ind w:left="0" w:firstLine="0"/>
        <w:jc w:val="both"/>
        <w:rPr>
          <w:rFonts w:ascii="Cambria" w:hAnsi="Cambria" w:cstheme="minorHAnsi"/>
          <w:sz w:val="24"/>
          <w:szCs w:val="24"/>
        </w:rPr>
      </w:pPr>
      <w:r>
        <w:rPr>
          <w:rFonts w:ascii="Cambria" w:hAnsi="Cambria" w:cstheme="minorHAnsi"/>
          <w:sz w:val="24"/>
          <w:szCs w:val="24"/>
        </w:rPr>
        <w:t>Decidir de pronto o mérito do recurso, segundo os documentos e informações contidas nos autos, como também os fundamentos da decisão do Pregoeiro.</w:t>
      </w:r>
    </w:p>
    <w:p>
      <w:pPr>
        <w:pStyle w:val="PargrafodaLista"/>
        <w:numPr>
          <w:ilvl w:val="2"/>
          <w:numId w:val="22"/>
        </w:numPr>
        <w:tabs>
          <w:tab w:val="left" w:pos="284"/>
        </w:tabs>
        <w:ind w:left="0" w:firstLine="0"/>
        <w:jc w:val="both"/>
        <w:rPr>
          <w:rFonts w:ascii="Cambria" w:hAnsi="Cambria" w:cstheme="minorHAnsi"/>
          <w:sz w:val="24"/>
          <w:szCs w:val="24"/>
        </w:rPr>
      </w:pPr>
      <w:r>
        <w:rPr>
          <w:rFonts w:ascii="Cambria" w:hAnsi="Cambria" w:cstheme="minorHAnsi"/>
          <w:sz w:val="24"/>
          <w:szCs w:val="24"/>
        </w:rPr>
        <w:t>Determinar prévia emissão de parecer da área técnica interessada e/ou jurídico para fins de decisão.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Pregoeiro ou da autoridade superior considerando eventuais indícios de ilegalidades ou irregularidades no julgamento do certame apontados na própria intenção de recurso, deverá analisar o mérito do recurso independente da apresentação das respectivas razões (ou de sua apresentação fora do prazo legal), como mero exercício do direito constitucional de petição (art. 5º, XXXIV, "a", CRFB/1988).</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Não cabe recurso adesivo por ocasião do exercício do direito de contrarrazoar.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O acolhimento do recurso importará na invalidação apenas dos atos insuscetíveis de aproveitamento, sendo reaberta a Sessão Pública para fins de prosseguimento do certame e explanação dos atos decorrentes da decisão.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No caso de licitações com julgamento por item e/ou por grupo/lote, a aceitação de intenção de recurso apenas suspenderá a tramitação do processo licitatório em relação ao(s) item(ns)/grupo/lote(s) recorrido(s), inclusive quanto ao prazo de validade da proposta, o qual somente recomeçará a contar quando da decisão final da autoridade competente, sendo realizado o encerramento da sessão e adjudicação do objeto pela Pregoeira em face dos demais itens/grupos do objeto da licitação, através de adjudicação ou homologação parcial.</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SUSPENSÃO E REABERTURA DA SESSÃO:</w:t>
      </w:r>
    </w:p>
    <w:p>
      <w:pPr>
        <w:pStyle w:val="PargrafodaLista"/>
        <w:numPr>
          <w:ilvl w:val="2"/>
          <w:numId w:val="5"/>
        </w:numPr>
        <w:tabs>
          <w:tab w:val="left" w:pos="851"/>
        </w:tabs>
        <w:ind w:left="0" w:firstLine="0"/>
        <w:jc w:val="both"/>
        <w:rPr>
          <w:rFonts w:ascii="Cambria" w:hAnsi="Cambria" w:cstheme="minorHAnsi"/>
          <w:sz w:val="24"/>
          <w:szCs w:val="24"/>
        </w:rPr>
      </w:pPr>
      <w:bookmarkStart w:id="34" w:name="_Hlk73710070"/>
      <w:r>
        <w:rPr>
          <w:rFonts w:ascii="Cambria" w:hAnsi="Cambria" w:cstheme="minorHAnsi"/>
          <w:sz w:val="24"/>
          <w:szCs w:val="24"/>
        </w:rPr>
        <w:t>Ao Pregoeiro é facultado, a qualquer momento, suspender a sessão mediante motivo devidamente justificado e marcar seu prosseguimento para outra ocasião, fazendo constar esta decisão na plataforma eletrônica. Neste caso, a sessão terá continuidade a qualquer dia e hora, ficando a cargo do Pregoeiro realizar o devido agendamento prévio na plataforma do Compras Gov no site www.compras.gov.br.</w:t>
      </w:r>
      <w:bookmarkEnd w:id="34"/>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O Pregoeiro, a qualquer tempo, na análise das propostas de preços e seus ANEXOS, das amostras, quando houver, e dos documentos de habilitação, poderá solicitar outros documentos, pareceres técnicos e/ou suspender a sessão para realizar diligência a fim de obter melhores subsídios para as suas decisões. Neste caso, a sessão do pregão na forma eletrônica será suspensa e será reiniciada somente decorrida </w:t>
      </w:r>
      <w:r>
        <w:rPr>
          <w:rFonts w:ascii="Cambria" w:hAnsi="Cambria" w:cstheme="minorHAnsi"/>
          <w:b/>
          <w:bCs/>
          <w:sz w:val="24"/>
          <w:szCs w:val="24"/>
        </w:rPr>
        <w:t>24h (vinte e quatro horas)</w:t>
      </w:r>
      <w:r>
        <w:rPr>
          <w:rFonts w:ascii="Cambria" w:hAnsi="Cambria" w:cstheme="minorHAnsi"/>
          <w:sz w:val="24"/>
          <w:szCs w:val="24"/>
        </w:rPr>
        <w:t xml:space="preserve"> após a comunicação </w:t>
      </w:r>
      <w:r>
        <w:rPr>
          <w:rFonts w:ascii="Cambria" w:hAnsi="Cambria" w:cstheme="minorHAnsi"/>
          <w:sz w:val="24"/>
          <w:szCs w:val="24"/>
        </w:rPr>
        <w:lastRenderedPageBreak/>
        <w:t>do prosseguimento aos participantes, a qual serão informados na plataforma do Compras Gov no site www.compras.gov.br).</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A Sessão Pública poderá ser REABERTA, em prazo não inferior a </w:t>
      </w:r>
      <w:r>
        <w:rPr>
          <w:rFonts w:ascii="Cambria" w:hAnsi="Cambria" w:cstheme="minorHAnsi"/>
          <w:b/>
          <w:bCs/>
          <w:sz w:val="24"/>
          <w:szCs w:val="24"/>
        </w:rPr>
        <w:t>24h (vinte e quatro horas)</w:t>
      </w:r>
      <w:r>
        <w:rPr>
          <w:rFonts w:ascii="Cambria" w:hAnsi="Cambria" w:cstheme="minorHAnsi"/>
          <w:sz w:val="24"/>
          <w:szCs w:val="24"/>
        </w:rPr>
        <w:t>, em relação ao(s) ITEM(NS) e/ou GRUPO/LOTE(S) do objeto que apresente os seguintes eventos, observada sempre a ordem classificatória da fase de lances: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Julgamento favorável em sede de recurso administrativo que leve à anulação de atos da fase preparatória ou da própria Sessão Pública, situação em que serão repetidos os atos anulados e os que dele dependam;</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Constatado erro/impropriedade na aceitação e julgamento da proposta, ou no julgamento da habilitação, o certame restará retroagido aos procedimentos imediatamente anteriores ao instante do erro/impropriedade declarada;</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Licitante declarado vencedor que não assinar o instrumento contratual, não havendo CADASTRO DE RESERVA, sendo o certame retomado da fase de aceitação e julgamento das propostas;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Microempresa - ME, Empresas de Pequeno Porte - EPP e equiparadas com restrição da habilitação fiscal e trabalhista que, vencedora do certame, não comprove tal regularidade no prazo fixado neste Edital, nos termos do art. 43, §1º da LC nº 123/2006, sendo reiniciados os procedimentos imediatamente posteriores ao encerramento da etapa de lances;</w:t>
      </w:r>
    </w:p>
    <w:p>
      <w:pPr>
        <w:pStyle w:val="PargrafodaLista"/>
        <w:numPr>
          <w:ilvl w:val="2"/>
          <w:numId w:val="23"/>
        </w:numPr>
        <w:tabs>
          <w:tab w:val="left" w:pos="284"/>
        </w:tabs>
        <w:ind w:left="0" w:firstLine="0"/>
        <w:jc w:val="both"/>
        <w:rPr>
          <w:rFonts w:ascii="Cambria" w:hAnsi="Cambria" w:cstheme="minorHAnsi"/>
          <w:sz w:val="24"/>
          <w:szCs w:val="24"/>
        </w:rPr>
      </w:pPr>
      <w:r>
        <w:rPr>
          <w:rFonts w:ascii="Cambria" w:hAnsi="Cambria" w:cstheme="minorHAnsi"/>
          <w:sz w:val="24"/>
          <w:szCs w:val="24"/>
        </w:rPr>
        <w:t>Licitante vencedor que não mantenha as condições de participação e de habilitação até o momento da assinatura do instrumento contratual, sendo reiniciados os procedimentos de aceitação e julgamento das propostas.</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 xml:space="preserve">Todos os licitantes remanescentes deverão ser convocados para acompanhar a Sessão reaberta, sendo devidamente registrados na plataforma eletrônica Compras Gov no site </w:t>
      </w:r>
      <w:hyperlink r:id="rId32" w:history="1">
        <w:r>
          <w:rPr>
            <w:rStyle w:val="Hyperlink"/>
            <w:rFonts w:ascii="Cambria" w:hAnsi="Cambria" w:cstheme="minorHAnsi"/>
            <w:sz w:val="24"/>
            <w:szCs w:val="24"/>
          </w:rPr>
          <w:t>www.compras.gov.br</w:t>
        </w:r>
      </w:hyperlink>
      <w:r>
        <w:rPr>
          <w:rFonts w:ascii="Cambria" w:hAnsi="Cambria" w:cstheme="minorHAnsi"/>
          <w:sz w:val="24"/>
          <w:szCs w:val="24"/>
        </w:rPr>
        <w:t xml:space="preserve"> a data e hora de tal reabertura, observados os seguintes meios:</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 xml:space="preserve">A convocação se dará por meio da plataforma eletrônica Compras Gov no site </w:t>
      </w:r>
      <w:hyperlink r:id="rId33" w:history="1">
        <w:r>
          <w:rPr>
            <w:rStyle w:val="Hyperlink"/>
            <w:rFonts w:ascii="Cambria" w:hAnsi="Cambria" w:cstheme="minorHAnsi"/>
            <w:sz w:val="24"/>
            <w:szCs w:val="24"/>
          </w:rPr>
          <w:t>www.compras.gov.br</w:t>
        </w:r>
      </w:hyperlink>
      <w:r>
        <w:rPr>
          <w:rFonts w:ascii="Cambria" w:hAnsi="Cambria" w:cstheme="minorHAnsi"/>
          <w:sz w:val="24"/>
          <w:szCs w:val="24"/>
        </w:rPr>
        <w:t xml:space="preserve"> ("CHAT” ou evento de reabertura) ou e-mail, de acordo coma fase do procedimento licitatório;</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A convocação feita por e-mail dar-se-á de acordo com os dados cadastrais contidos no SICAF, sendo responsabilidade do licitante mantê-los atualizados; e,</w:t>
      </w:r>
    </w:p>
    <w:p>
      <w:pPr>
        <w:pStyle w:val="PargrafodaLista"/>
        <w:numPr>
          <w:ilvl w:val="2"/>
          <w:numId w:val="24"/>
        </w:numPr>
        <w:tabs>
          <w:tab w:val="left" w:pos="284"/>
        </w:tabs>
        <w:ind w:left="0" w:firstLine="0"/>
        <w:jc w:val="both"/>
        <w:rPr>
          <w:rFonts w:ascii="Cambria" w:hAnsi="Cambria" w:cstheme="minorHAnsi"/>
          <w:sz w:val="24"/>
          <w:szCs w:val="24"/>
        </w:rPr>
      </w:pPr>
      <w:r>
        <w:rPr>
          <w:rFonts w:ascii="Cambria" w:hAnsi="Cambria" w:cstheme="minorHAnsi"/>
          <w:sz w:val="24"/>
          <w:szCs w:val="24"/>
        </w:rPr>
        <w:t>A convocação para reabertura também será divulgada com antecedência por meio do Portal de Licitações do TCE/CE, cabendo ao licitante acompanhar as informações e publicações contidas naquele canal de acesso.</w:t>
      </w:r>
    </w:p>
    <w:p>
      <w:pPr>
        <w:pStyle w:val="PargrafodaLista"/>
        <w:numPr>
          <w:ilvl w:val="2"/>
          <w:numId w:val="5"/>
        </w:numPr>
        <w:tabs>
          <w:tab w:val="left" w:pos="851"/>
        </w:tabs>
        <w:ind w:left="0" w:firstLine="0"/>
        <w:jc w:val="both"/>
        <w:rPr>
          <w:rFonts w:ascii="Cambria" w:hAnsi="Cambria" w:cstheme="minorHAnsi"/>
          <w:sz w:val="24"/>
          <w:szCs w:val="24"/>
        </w:rPr>
      </w:pPr>
      <w:r>
        <w:rPr>
          <w:rFonts w:ascii="Cambria" w:hAnsi="Cambria" w:cstheme="minorHAnsi"/>
          <w:sz w:val="24"/>
          <w:szCs w:val="24"/>
        </w:rPr>
        <w:t>A Sessão Pública reaberta será composta de todos os procedimentos e regras de processamento fixadas neste Edital, a depender apenas da fase em que os trabalhos serão retomados.</w:t>
      </w:r>
    </w:p>
    <w:p>
      <w:pPr>
        <w:pStyle w:val="PargrafodaLista"/>
        <w:tabs>
          <w:tab w:val="left" w:pos="426"/>
        </w:tabs>
        <w:ind w:left="0"/>
        <w:jc w:val="both"/>
        <w:rPr>
          <w:rFonts w:ascii="Cambria" w:hAnsi="Cambria" w:cstheme="minorHAnsi"/>
          <w:b/>
          <w:bCs/>
          <w:sz w:val="24"/>
          <w:szCs w:val="24"/>
          <w:u w:val="single"/>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 xml:space="preserve">ENCERRAMENTO DA SESSÃO: </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Da sessão do Pregão será lavrada ata circunstanciada, que mencionará os proponentes participantes, as Propostas de Preços e lances verbais sucessivos, na ordem de classificação, a análise da documentação exigida para habilitação e os recursos interpostos, devendo ser a mesma assinada, ao final, pelo Pregoeiro e sua Equipe de Apoio.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 Ao final da sessão, caso não haja intenção de interposição de recurso e o preço final seja compatível com os preços de mercado previstos para a contratação, será feita pelo Pregoeiro a adjudicação do objeto desta licitação ao proponente declarado vencedor do certame e encerrada a reunião, após o que, o processo, devidamente instruído, será encaminhado: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lastRenderedPageBreak/>
        <w:t>Para as publicações quanto resultados do certame, instrução do feito e deliberações quanto aos proclames de julgamento;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t>À Assessoria Jurídica, para fins de análise e parecer jurídico;</w:t>
      </w:r>
    </w:p>
    <w:p>
      <w:pPr>
        <w:pStyle w:val="PargrafodaLista"/>
        <w:numPr>
          <w:ilvl w:val="2"/>
          <w:numId w:val="25"/>
        </w:numPr>
        <w:tabs>
          <w:tab w:val="left" w:pos="284"/>
        </w:tabs>
        <w:ind w:left="0" w:firstLine="0"/>
        <w:jc w:val="both"/>
        <w:rPr>
          <w:rFonts w:ascii="Cambria" w:hAnsi="Cambria" w:cstheme="minorHAnsi"/>
          <w:sz w:val="24"/>
          <w:szCs w:val="24"/>
        </w:rPr>
      </w:pPr>
      <w:r>
        <w:rPr>
          <w:rFonts w:ascii="Cambria" w:hAnsi="Cambria" w:cstheme="minorHAnsi"/>
          <w:sz w:val="24"/>
          <w:szCs w:val="24"/>
        </w:rPr>
        <w:t>E depois à(s) autoridades(s) competentes para homologação e subsequente formalização de Contrato(s).</w:t>
      </w:r>
    </w:p>
    <w:p>
      <w:pPr>
        <w:autoSpaceDE w:val="0"/>
        <w:autoSpaceDN w:val="0"/>
        <w:adjustRightInd w:val="0"/>
        <w:jc w:val="both"/>
        <w:rPr>
          <w:rFonts w:ascii="Cambria" w:hAnsi="Cambria" w:cstheme="minorHAnsi"/>
          <w:bCs/>
          <w:sz w:val="24"/>
          <w:szCs w:val="24"/>
        </w:rPr>
      </w:pPr>
    </w:p>
    <w:p>
      <w:pPr>
        <w:pStyle w:val="Ttulo1"/>
        <w:tabs>
          <w:tab w:val="clear" w:pos="284"/>
          <w:tab w:val="left" w:pos="426"/>
        </w:tabs>
        <w:ind w:left="0" w:firstLine="0"/>
        <w:rPr>
          <w:rFonts w:ascii="Cambria" w:hAnsi="Cambria" w:cstheme="minorHAnsi"/>
          <w:sz w:val="24"/>
          <w:szCs w:val="24"/>
        </w:rPr>
      </w:pPr>
      <w:bookmarkStart w:id="35" w:name="_Toc161741806"/>
      <w:bookmarkStart w:id="36" w:name="_Toc164093665"/>
      <w:r>
        <w:rPr>
          <w:rFonts w:ascii="Cambria" w:hAnsi="Cambria" w:cstheme="minorHAnsi"/>
          <w:sz w:val="24"/>
          <w:szCs w:val="24"/>
        </w:rPr>
        <w:t>DA ADJUDICAÇÃO E HOMOLOGAÇÃO.</w:t>
      </w:r>
      <w:bookmarkEnd w:id="35"/>
      <w:bookmarkEnd w:id="36"/>
    </w:p>
    <w:p>
      <w:pPr>
        <w:pStyle w:val="PargrafodaLista"/>
        <w:numPr>
          <w:ilvl w:val="1"/>
          <w:numId w:val="5"/>
        </w:numPr>
        <w:tabs>
          <w:tab w:val="left" w:pos="567"/>
        </w:tabs>
        <w:ind w:left="0" w:firstLine="0"/>
        <w:jc w:val="both"/>
        <w:rPr>
          <w:rFonts w:ascii="Cambria" w:hAnsi="Cambria" w:cstheme="minorHAnsi"/>
          <w:sz w:val="24"/>
          <w:szCs w:val="24"/>
        </w:rPr>
      </w:pPr>
      <w:r>
        <w:rPr>
          <w:rFonts w:ascii="Cambria" w:eastAsia="Calibri" w:hAnsi="Cambria" w:cstheme="minorHAnsi"/>
          <w:noProof/>
          <w:sz w:val="24"/>
          <w:szCs w:val="24"/>
          <w:lang w:eastAsia="pt-BR"/>
        </w:rPr>
        <w:t>Encerradas as fases de julgamento e habilitação, e exauridos os recursos administrativos, o processo licitatório será encaminhado à autoridade superior para adjudicar o objeto e homologar o procedimento, observado o disposto no art. 71 da Lei Federal nº 14.133, de 2021.</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autoridade competente poderá:</w:t>
      </w:r>
    </w:p>
    <w:p>
      <w:pPr>
        <w:pStyle w:val="PargrafodaLista"/>
        <w:numPr>
          <w:ilvl w:val="2"/>
          <w:numId w:val="26"/>
        </w:numPr>
        <w:tabs>
          <w:tab w:val="left" w:pos="284"/>
        </w:tabs>
        <w:ind w:left="0" w:firstLine="0"/>
        <w:jc w:val="both"/>
        <w:rPr>
          <w:rFonts w:ascii="Cambria" w:hAnsi="Cambria" w:cstheme="minorHAnsi"/>
          <w:sz w:val="24"/>
          <w:szCs w:val="24"/>
        </w:rPr>
      </w:pPr>
      <w:r>
        <w:rPr>
          <w:rFonts w:ascii="Cambria" w:hAnsi="Cambria" w:cstheme="minorHAnsi"/>
          <w:sz w:val="24"/>
          <w:szCs w:val="24"/>
        </w:rPr>
        <w:t>Anular o certame, total ou parcialmente, em razão de ilegalidade, determinando o aproveitamento dos atos não viciados; ou,</w:t>
      </w:r>
    </w:p>
    <w:p>
      <w:pPr>
        <w:pStyle w:val="PargrafodaLista"/>
        <w:numPr>
          <w:ilvl w:val="2"/>
          <w:numId w:val="26"/>
        </w:numPr>
        <w:tabs>
          <w:tab w:val="left" w:pos="284"/>
        </w:tabs>
        <w:ind w:left="0" w:firstLine="0"/>
        <w:jc w:val="both"/>
        <w:rPr>
          <w:rFonts w:ascii="Cambria" w:hAnsi="Cambria" w:cstheme="minorHAnsi"/>
          <w:sz w:val="24"/>
          <w:szCs w:val="24"/>
        </w:rPr>
      </w:pPr>
      <w:r>
        <w:rPr>
          <w:rFonts w:ascii="Cambria" w:hAnsi="Cambria" w:cstheme="minorHAnsi"/>
          <w:sz w:val="24"/>
          <w:szCs w:val="24"/>
        </w:rPr>
        <w:t>Revogar o certame, total ou parcialmente, por razões de conveniência e oportunidade, à luz do interesse público primário tutelado.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adjudicação e ou a homologação do resultado desta licitação não implicará direito à contratação.</w:t>
      </w:r>
    </w:p>
    <w:p>
      <w:pPr>
        <w:pStyle w:val="PargrafodaLista"/>
        <w:tabs>
          <w:tab w:val="left" w:pos="284"/>
        </w:tabs>
        <w:ind w:left="0"/>
        <w:jc w:val="both"/>
        <w:rPr>
          <w:rFonts w:ascii="Cambria" w:hAnsi="Cambria" w:cstheme="minorHAnsi"/>
          <w:sz w:val="24"/>
          <w:szCs w:val="24"/>
        </w:rPr>
      </w:pPr>
      <w:r>
        <w:rPr>
          <w:rFonts w:ascii="Cambria" w:hAnsi="Cambria" w:cstheme="minorHAnsi"/>
          <w:sz w:val="24"/>
          <w:szCs w:val="24"/>
        </w:rPr>
        <w:t xml:space="preserve">a) Não havendo homologação do certame após decorridos </w:t>
      </w:r>
      <w:r>
        <w:rPr>
          <w:rFonts w:ascii="Cambria" w:hAnsi="Cambria" w:cstheme="minorHAnsi"/>
          <w:b/>
          <w:bCs/>
          <w:sz w:val="24"/>
          <w:szCs w:val="24"/>
        </w:rPr>
        <w:t>60 (sessenta) dias</w:t>
      </w:r>
      <w:r>
        <w:rPr>
          <w:rFonts w:ascii="Cambria" w:hAnsi="Cambria" w:cstheme="minorHAnsi"/>
          <w:sz w:val="24"/>
          <w:szCs w:val="24"/>
        </w:rPr>
        <w:t xml:space="preserve"> da data de abertura das propostas, fica(m) o(s) licitante(s) liberado(s) dos compromissos assumidos em sua(s) proposta(s).</w:t>
      </w:r>
    </w:p>
    <w:p>
      <w:pPr>
        <w:autoSpaceDE w:val="0"/>
        <w:autoSpaceDN w:val="0"/>
        <w:adjustRightInd w:val="0"/>
        <w:jc w:val="both"/>
        <w:rPr>
          <w:rFonts w:ascii="Cambria" w:hAnsi="Cambria" w:cstheme="minorHAnsi"/>
          <w:bCs/>
          <w:sz w:val="24"/>
          <w:szCs w:val="24"/>
        </w:rPr>
      </w:pPr>
    </w:p>
    <w:p>
      <w:pPr>
        <w:pStyle w:val="Ttulo1"/>
        <w:tabs>
          <w:tab w:val="clear" w:pos="284"/>
          <w:tab w:val="left" w:pos="426"/>
        </w:tabs>
        <w:ind w:left="0" w:firstLine="0"/>
        <w:rPr>
          <w:rFonts w:ascii="Cambria" w:hAnsi="Cambria" w:cstheme="minorHAnsi"/>
          <w:sz w:val="24"/>
          <w:szCs w:val="24"/>
        </w:rPr>
      </w:pPr>
      <w:bookmarkStart w:id="37" w:name="_Toc161741807"/>
      <w:bookmarkStart w:id="38" w:name="_Toc164093666"/>
      <w:r>
        <w:rPr>
          <w:rFonts w:ascii="Cambria" w:hAnsi="Cambria" w:cstheme="minorHAnsi"/>
          <w:sz w:val="24"/>
          <w:szCs w:val="24"/>
        </w:rPr>
        <w:t>DAS DOTAÇÕES ORÇAMENTÁRIAS</w:t>
      </w:r>
      <w:bookmarkEnd w:id="37"/>
      <w:r>
        <w:rPr>
          <w:rFonts w:ascii="Cambria" w:hAnsi="Cambria" w:cstheme="minorHAnsi"/>
          <w:sz w:val="24"/>
          <w:szCs w:val="24"/>
        </w:rPr>
        <w:t xml:space="preserve"> E VALOR ESTIMADO</w:t>
      </w:r>
      <w:bookmarkEnd w:id="38"/>
    </w:p>
    <w:p>
      <w:pPr>
        <w:pStyle w:val="Ttulo1"/>
        <w:numPr>
          <w:ilvl w:val="0"/>
          <w:numId w:val="0"/>
        </w:numPr>
        <w:rPr>
          <w:rFonts w:ascii="Cambria" w:hAnsi="Cambria" w:cstheme="minorHAnsi"/>
          <w:sz w:val="24"/>
          <w:szCs w:val="24"/>
        </w:rPr>
      </w:pPr>
    </w:p>
    <w:p>
      <w:pPr>
        <w:rPr>
          <w:rFonts w:ascii="Cambria" w:hAnsi="Cambria" w:cstheme="minorHAnsi"/>
          <w:b/>
          <w:bCs/>
          <w:sz w:val="24"/>
          <w:szCs w:val="24"/>
          <w:lang w:eastAsia="ar-SA"/>
        </w:rPr>
      </w:pPr>
      <w:r>
        <w:rPr>
          <w:rFonts w:ascii="Cambria" w:hAnsi="Cambria" w:cstheme="minorHAnsi"/>
          <w:b/>
          <w:bCs/>
          <w:sz w:val="24"/>
          <w:szCs w:val="24"/>
          <w:lang w:eastAsia="ar-SA"/>
        </w:rPr>
        <w:t>SECRETARIA MUNICIPAL DE SAÚDE:</w:t>
      </w:r>
    </w:p>
    <w:p>
      <w:pPr>
        <w:jc w:val="both"/>
        <w:rPr>
          <w:rFonts w:ascii="Cambria" w:hAnsi="Cambria" w:cstheme="minorHAnsi"/>
          <w:b/>
          <w:bCs/>
          <w:sz w:val="24"/>
          <w:szCs w:val="24"/>
        </w:rPr>
      </w:pPr>
      <w:r>
        <w:rPr>
          <w:rFonts w:ascii="Cambria" w:hAnsi="Cambria" w:cstheme="minorHAnsi"/>
          <w:b/>
          <w:bCs/>
          <w:sz w:val="24"/>
          <w:szCs w:val="24"/>
        </w:rPr>
        <w:t>ORGÃO:</w:t>
      </w:r>
      <w:r>
        <w:rPr>
          <w:rFonts w:ascii="Cambria" w:hAnsi="Cambria" w:cstheme="minorHAnsi"/>
          <w:sz w:val="24"/>
          <w:szCs w:val="24"/>
        </w:rPr>
        <w:t xml:space="preserve"> 04- </w:t>
      </w:r>
      <w:r>
        <w:rPr>
          <w:rFonts w:ascii="Cambria" w:hAnsi="Cambria" w:cstheme="minorHAnsi"/>
          <w:bCs/>
          <w:sz w:val="24"/>
          <w:szCs w:val="24"/>
        </w:rPr>
        <w:t>Secretaria Municipal de Saúde</w:t>
      </w:r>
    </w:p>
    <w:p>
      <w:pPr>
        <w:rPr>
          <w:rFonts w:ascii="Cambria" w:hAnsi="Cambria" w:cstheme="minorHAnsi"/>
          <w:sz w:val="24"/>
          <w:szCs w:val="24"/>
        </w:rPr>
      </w:pPr>
      <w:r>
        <w:rPr>
          <w:rFonts w:ascii="Cambria" w:hAnsi="Cambria" w:cstheme="minorHAnsi"/>
          <w:b/>
          <w:bCs/>
          <w:sz w:val="24"/>
          <w:szCs w:val="24"/>
        </w:rPr>
        <w:t xml:space="preserve">UNID. ORÇAMENTÁRIA: </w:t>
      </w:r>
      <w:r>
        <w:rPr>
          <w:rFonts w:ascii="Cambria" w:hAnsi="Cambria" w:cstheme="minorHAnsi"/>
          <w:sz w:val="24"/>
          <w:szCs w:val="24"/>
        </w:rPr>
        <w:t xml:space="preserve">01- </w:t>
      </w:r>
      <w:r>
        <w:rPr>
          <w:rFonts w:ascii="Cambria" w:hAnsi="Cambria" w:cstheme="minorHAnsi"/>
          <w:bCs/>
          <w:sz w:val="24"/>
          <w:szCs w:val="24"/>
        </w:rPr>
        <w:t>Secretaria Municipal de Saúde</w:t>
      </w:r>
    </w:p>
    <w:p>
      <w:pPr>
        <w:jc w:val="both"/>
        <w:rPr>
          <w:rFonts w:ascii="Cambria" w:hAnsi="Cambria" w:cstheme="minorHAnsi"/>
          <w:b/>
          <w:bCs/>
          <w:sz w:val="24"/>
          <w:szCs w:val="24"/>
        </w:rPr>
      </w:pPr>
      <w:r>
        <w:rPr>
          <w:rFonts w:ascii="Cambria" w:hAnsi="Cambria" w:cstheme="minorHAnsi"/>
          <w:b/>
          <w:bCs/>
          <w:sz w:val="24"/>
          <w:szCs w:val="24"/>
        </w:rPr>
        <w:t xml:space="preserve">DOTAÇÕES ORÇAMENTÁRIAS: </w:t>
      </w:r>
      <w:r>
        <w:rPr>
          <w:rFonts w:ascii="Cambria" w:hAnsi="Cambria"/>
          <w:sz w:val="24"/>
          <w:szCs w:val="24"/>
        </w:rPr>
        <w:t xml:space="preserve">10.122.0014.2.008 – Recursos Próprios – Secretaria de Saúde </w:t>
      </w:r>
      <w:r>
        <w:rPr>
          <w:rFonts w:ascii="Cambria" w:hAnsi="Cambria" w:cstheme="minorHAnsi"/>
          <w:b/>
          <w:bCs/>
          <w:sz w:val="24"/>
          <w:szCs w:val="24"/>
        </w:rPr>
        <w:t xml:space="preserve">ELEMENTO DESPESA: </w:t>
      </w:r>
      <w:r>
        <w:rPr>
          <w:rFonts w:ascii="Cambria" w:hAnsi="Cambria" w:cstheme="minorHAnsi"/>
          <w:bCs/>
          <w:sz w:val="24"/>
          <w:szCs w:val="24"/>
        </w:rPr>
        <w:t>3.3.90.39.90 –</w:t>
      </w:r>
      <w:r>
        <w:rPr>
          <w:rFonts w:ascii="Cambria" w:hAnsi="Cambria" w:cstheme="minorHAnsi"/>
          <w:b/>
          <w:bCs/>
          <w:sz w:val="24"/>
          <w:szCs w:val="24"/>
        </w:rPr>
        <w:t xml:space="preserve"> </w:t>
      </w:r>
      <w:r>
        <w:rPr>
          <w:rFonts w:ascii="Cambria" w:hAnsi="Cambria" w:cstheme="minorHAnsi"/>
          <w:bCs/>
          <w:sz w:val="24"/>
          <w:szCs w:val="24"/>
        </w:rPr>
        <w:t>Outros serviços de terceiros/PJ</w:t>
      </w:r>
    </w:p>
    <w:p>
      <w:pPr>
        <w:jc w:val="both"/>
        <w:rPr>
          <w:rFonts w:ascii="Cambria" w:hAnsi="Cambria" w:cstheme="minorHAnsi"/>
          <w:bCs/>
          <w:sz w:val="24"/>
          <w:szCs w:val="24"/>
        </w:rPr>
      </w:pPr>
      <w:r>
        <w:rPr>
          <w:rFonts w:ascii="Cambria" w:hAnsi="Cambria" w:cstheme="minorHAnsi"/>
          <w:b/>
          <w:bCs/>
          <w:sz w:val="24"/>
          <w:szCs w:val="24"/>
        </w:rPr>
        <w:t xml:space="preserve">FONTE: </w:t>
      </w:r>
      <w:r>
        <w:rPr>
          <w:rFonts w:ascii="Cambria" w:hAnsi="Cambria"/>
          <w:sz w:val="24"/>
          <w:szCs w:val="24"/>
        </w:rPr>
        <w:t>1500100200 – Receita de imposto e tranf. - saúde</w:t>
      </w:r>
    </w:p>
    <w:p>
      <w:pPr>
        <w:jc w:val="both"/>
        <w:rPr>
          <w:rFonts w:ascii="Cambria" w:hAnsi="Cambria" w:cstheme="minorHAnsi"/>
          <w:bCs/>
          <w:sz w:val="24"/>
          <w:szCs w:val="24"/>
        </w:rPr>
      </w:pPr>
    </w:p>
    <w:p>
      <w:pPr>
        <w:jc w:val="both"/>
        <w:rPr>
          <w:rFonts w:ascii="Cambria" w:hAnsi="Cambria" w:cstheme="minorHAnsi"/>
          <w:b/>
          <w:bCs/>
          <w:sz w:val="24"/>
          <w:szCs w:val="24"/>
          <w:lang w:eastAsia="ar-SA"/>
        </w:rPr>
      </w:pPr>
      <w:r>
        <w:rPr>
          <w:rFonts w:ascii="Cambria" w:hAnsi="Cambria" w:cstheme="minorHAnsi"/>
          <w:b/>
          <w:sz w:val="24"/>
          <w:szCs w:val="24"/>
        </w:rPr>
        <w:t>VALOR ESTIMADO:</w:t>
      </w:r>
    </w:p>
    <w:p>
      <w:pPr>
        <w:pStyle w:val="PargrafodaLista"/>
        <w:numPr>
          <w:ilvl w:val="1"/>
          <w:numId w:val="5"/>
        </w:numPr>
        <w:tabs>
          <w:tab w:val="left" w:pos="426"/>
          <w:tab w:val="left" w:pos="567"/>
          <w:tab w:val="center" w:pos="4873"/>
        </w:tabs>
        <w:suppressAutoHyphens w:val="0"/>
        <w:spacing w:line="276" w:lineRule="auto"/>
        <w:ind w:left="0" w:firstLine="0"/>
        <w:jc w:val="both"/>
        <w:rPr>
          <w:rFonts w:ascii="Cambria" w:hAnsi="Cambria" w:cstheme="minorHAnsi"/>
          <w:bCs/>
          <w:sz w:val="24"/>
          <w:szCs w:val="24"/>
        </w:rPr>
      </w:pPr>
      <w:r>
        <w:rPr>
          <w:rFonts w:ascii="Cambria" w:hAnsi="Cambria" w:cstheme="minorHAnsi"/>
          <w:color w:val="000000"/>
          <w:sz w:val="24"/>
          <w:szCs w:val="24"/>
        </w:rPr>
        <w:t xml:space="preserve">O custo Global estimado para a contratação é de </w:t>
      </w:r>
      <w:r>
        <w:rPr>
          <w:rFonts w:ascii="Cambria" w:hAnsi="Cambria" w:cstheme="minorHAnsi"/>
          <w:b/>
          <w:bCs/>
          <w:color w:val="000000"/>
          <w:sz w:val="24"/>
          <w:szCs w:val="24"/>
        </w:rPr>
        <w:t xml:space="preserve">R$ 340.857,08 (trezentos e quarenta mil, oitocentos e cinquenta e sete reais e oito centavos) </w:t>
      </w:r>
      <w:r>
        <w:rPr>
          <w:rFonts w:ascii="Cambria" w:hAnsi="Cambria" w:cstheme="minorHAnsi"/>
          <w:color w:val="000000"/>
          <w:sz w:val="24"/>
          <w:szCs w:val="24"/>
        </w:rPr>
        <w:t>conforme relatório emitido pelo setor compras do Município.</w:t>
      </w:r>
      <w:r>
        <w:rPr>
          <w:rFonts w:ascii="Cambria" w:hAnsi="Cambria" w:cstheme="minorHAnsi"/>
          <w:bCs/>
          <w:sz w:val="24"/>
          <w:szCs w:val="24"/>
        </w:rPr>
        <w:t> </w:t>
      </w:r>
    </w:p>
    <w:p>
      <w:pPr>
        <w:pStyle w:val="Ttulo1"/>
        <w:numPr>
          <w:ilvl w:val="0"/>
          <w:numId w:val="0"/>
        </w:numPr>
        <w:ind w:left="720" w:hanging="360"/>
        <w:rPr>
          <w:rFonts w:ascii="Cambria" w:hAnsi="Cambria" w:cstheme="minorHAnsi"/>
          <w:sz w:val="24"/>
          <w:szCs w:val="24"/>
        </w:rPr>
      </w:pPr>
    </w:p>
    <w:p>
      <w:pPr>
        <w:pStyle w:val="Ttulo1"/>
        <w:tabs>
          <w:tab w:val="clear" w:pos="284"/>
          <w:tab w:val="left" w:pos="426"/>
        </w:tabs>
        <w:ind w:left="0" w:firstLine="0"/>
        <w:rPr>
          <w:rFonts w:ascii="Cambria" w:hAnsi="Cambria" w:cstheme="minorHAnsi"/>
          <w:sz w:val="24"/>
          <w:szCs w:val="24"/>
        </w:rPr>
      </w:pPr>
      <w:bookmarkStart w:id="39" w:name="_Toc161741808"/>
      <w:bookmarkStart w:id="40" w:name="_Toc164093667"/>
      <w:r>
        <w:rPr>
          <w:rFonts w:ascii="Cambria" w:hAnsi="Cambria" w:cstheme="minorHAnsi"/>
          <w:sz w:val="24"/>
          <w:szCs w:val="24"/>
        </w:rPr>
        <w:t>DA FORMALIZAÇÃO DAS CONTRATAÇÕES</w:t>
      </w:r>
      <w:bookmarkEnd w:id="39"/>
      <w:bookmarkEnd w:id="40"/>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DO INSTRUMENTO CONTRATUAL: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Dentro da validade da PROPOSTA, o adjudicatário poderá ser convocado para comparecer perante o órgão ou entidade para firmar contratações decorrentes do Instrumento Contratual.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Administração convocará o adjudicatário para assinatura, mediante correspondência meio eletrônico, para que seja assinado no prazo de 05(cinco) dias, a contar da data de seu recebimento da convocação, sob pena de decair do direito à contratação, sem prejuízo das sanções previstas neste Edital.</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prazo previsto no subitem anterior poderá ser prorrogado, por igual período, por solicitação justificada do adjudicatário e aceita pela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O prazo de vigência da contratação será aquele estipulado no próprio instrumento contratual e observará no momento da contratação e a cada exercício financeiro a disponibilidade de créditos orçamentários, bem como a previsão no plano plurianual, quando ultrapassar 1 (um) exercício financeiro.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formalização do contrato ou do instrumento substituto deverá haver a indicação da disponibilidade dos créditos orçamentários respectivos.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Incumbirá à Administração providenciar a publicação do extrato do contrato nos termos do parágrafo único art. 61 da Lei nº 14.133/2021 de 1º de abril de 2021.</w:t>
      </w:r>
    </w:p>
    <w:p>
      <w:pPr>
        <w:pStyle w:val="Corpodetexto"/>
        <w:tabs>
          <w:tab w:val="left" w:pos="-1701"/>
          <w:tab w:val="left" w:pos="809"/>
        </w:tabs>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b/>
          <w:bCs/>
          <w:sz w:val="24"/>
          <w:szCs w:val="24"/>
          <w:u w:val="single"/>
        </w:rPr>
      </w:pPr>
      <w:r>
        <w:rPr>
          <w:rFonts w:ascii="Cambria" w:hAnsi="Cambria" w:cstheme="minorHAnsi"/>
          <w:b/>
          <w:bCs/>
          <w:sz w:val="24"/>
          <w:szCs w:val="24"/>
          <w:u w:val="single"/>
        </w:rPr>
        <w:t>DA MANUTENÇÃO DAS CONDIÇÕES DE HABILITAÇÃO E DAS IMPLICAÇÕES POR NÃO ATENDIMENTO A CONVOCAÇÃO: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Se o adjudicatário quando, injustificadamente, recusar-se à assinatura do contrato, poderá ser convocado outro proponente,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pPr>
        <w:pStyle w:val="Corpodetexto"/>
        <w:tabs>
          <w:tab w:val="left" w:pos="-1701"/>
          <w:tab w:val="left" w:pos="809"/>
        </w:tabs>
        <w:rPr>
          <w:rFonts w:ascii="Cambria" w:hAnsi="Cambria" w:cstheme="minorHAnsi"/>
          <w:sz w:val="24"/>
          <w:szCs w:val="24"/>
        </w:rPr>
      </w:pPr>
    </w:p>
    <w:p>
      <w:pPr>
        <w:pStyle w:val="Ttulo1"/>
        <w:tabs>
          <w:tab w:val="clear" w:pos="284"/>
          <w:tab w:val="left" w:pos="426"/>
        </w:tabs>
        <w:ind w:left="0" w:firstLine="0"/>
        <w:rPr>
          <w:rFonts w:ascii="Cambria" w:hAnsi="Cambria" w:cstheme="minorHAnsi"/>
          <w:sz w:val="24"/>
          <w:szCs w:val="24"/>
        </w:rPr>
      </w:pPr>
      <w:bookmarkStart w:id="41" w:name="_Toc161741809"/>
      <w:bookmarkStart w:id="42" w:name="_Toc164093668"/>
      <w:r>
        <w:rPr>
          <w:rFonts w:ascii="Cambria" w:hAnsi="Cambria" w:cstheme="minorHAnsi"/>
          <w:sz w:val="24"/>
          <w:szCs w:val="24"/>
        </w:rPr>
        <w:t>DO PAGAMENTO E DEMAIS CONDIÇÕES DO OBJETO</w:t>
      </w:r>
      <w:bookmarkEnd w:id="41"/>
      <w:bookmarkEnd w:id="42"/>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As condições de pagamento, obrigações, detalhamentos e demais especificidades quanto ao objeto e não abordados na parte geral desse edital, serão aquelas constantes do Termo de Referências e seus anexos. </w:t>
      </w:r>
    </w:p>
    <w:p>
      <w:pPr>
        <w:pStyle w:val="Corpodetexto"/>
        <w:tabs>
          <w:tab w:val="left" w:pos="-1701"/>
          <w:tab w:val="left" w:pos="809"/>
        </w:tabs>
        <w:rPr>
          <w:rFonts w:ascii="Cambria" w:hAnsi="Cambria" w:cstheme="minorHAnsi"/>
          <w:sz w:val="24"/>
          <w:szCs w:val="24"/>
        </w:rPr>
      </w:pPr>
    </w:p>
    <w:p>
      <w:pPr>
        <w:pStyle w:val="Ttulo1"/>
        <w:tabs>
          <w:tab w:val="clear" w:pos="284"/>
          <w:tab w:val="left" w:pos="426"/>
        </w:tabs>
        <w:ind w:left="284"/>
        <w:rPr>
          <w:rFonts w:ascii="Cambria" w:hAnsi="Cambria" w:cstheme="minorHAnsi"/>
          <w:sz w:val="24"/>
          <w:szCs w:val="24"/>
        </w:rPr>
      </w:pPr>
      <w:bookmarkStart w:id="43" w:name="_Toc161741810"/>
      <w:bookmarkStart w:id="44" w:name="_Toc164093669"/>
      <w:r>
        <w:rPr>
          <w:rFonts w:ascii="Cambria" w:hAnsi="Cambria" w:cstheme="minorHAnsi"/>
          <w:sz w:val="24"/>
          <w:szCs w:val="24"/>
        </w:rPr>
        <w:t>DAS INFRAÇÕES E SANÇÕES</w:t>
      </w:r>
      <w:bookmarkEnd w:id="43"/>
      <w:bookmarkEnd w:id="44"/>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Ficarão sujeitos às penalidades previstas na Lei n.º 12.846/2013 aqueles que cometerem atos lesivos à administração pública, assim definidos, no tocante a licitações e contratos:</w:t>
      </w:r>
    </w:p>
    <w:p>
      <w:pPr>
        <w:pStyle w:val="PargrafodaLista"/>
        <w:tabs>
          <w:tab w:val="left" w:pos="567"/>
        </w:tabs>
        <w:ind w:left="0"/>
        <w:jc w:val="both"/>
        <w:rPr>
          <w:rFonts w:ascii="Cambria" w:hAnsi="Cambria" w:cstheme="minorHAnsi"/>
          <w:sz w:val="24"/>
          <w:szCs w:val="24"/>
        </w:rPr>
      </w:pP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Frustrar ou fraudar, mediante ajuste, combinação ou qualquer outro expediente, o caráter competitivo de procedimento licitatório público;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Impedir, perturbar ou fraudar a realização de qualquer ato de procedimento licitatório público;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Afastar ou procurar afastar licitante, por meio de fraude ou oferecimento de vantagem de qualquer tipo;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Fraudar licitação pública ou contrato dela decorrente;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Criar, de modo fraudulento ou irregular, pessoa jurídica para participar de licitação pública ou celebrar contrato administrativo;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p>
    <w:p>
      <w:pPr>
        <w:pStyle w:val="PargrafodaLista"/>
        <w:numPr>
          <w:ilvl w:val="2"/>
          <w:numId w:val="27"/>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Manipular ou fraudar o equilíbrio econômico-financeiro dos contratos celebrados com a administração pública.</w:t>
      </w:r>
    </w:p>
    <w:p>
      <w:pPr>
        <w:pStyle w:val="PargrafodaLista"/>
        <w:tabs>
          <w:tab w:val="left" w:pos="567"/>
        </w:tabs>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Comete infração administrativa, nos termos da </w:t>
      </w:r>
      <w:hyperlink r:id="rId34" w:history="1">
        <w:r>
          <w:rPr>
            <w:rFonts w:ascii="Cambria" w:hAnsi="Cambria" w:cstheme="minorHAnsi"/>
            <w:sz w:val="24"/>
            <w:szCs w:val="24"/>
          </w:rPr>
          <w:t>Lei nº 14.133, de 2021</w:t>
        </w:r>
      </w:hyperlink>
      <w:r>
        <w:rPr>
          <w:rFonts w:ascii="Cambria" w:hAnsi="Cambria" w:cstheme="minorHAnsi"/>
          <w:sz w:val="24"/>
          <w:szCs w:val="24"/>
        </w:rPr>
        <w:t>, o licitante/adjudicatário que, com dolo ou culpa:</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5" w:name="_Ref114668085"/>
      <w:bookmarkStart w:id="46" w:name="_Hlk114652595"/>
      <w:r>
        <w:rPr>
          <w:rFonts w:ascii="Cambria" w:hAnsi="Cambria" w:cstheme="minorHAnsi"/>
          <w:bCs/>
          <w:sz w:val="24"/>
          <w:szCs w:val="24"/>
        </w:rPr>
        <w:t>Deixar de entregar a documentação exigida para o certame ou não entregar qualquer documento que tenha sido solicitado pelo/a pregoeiro/a durante o certame;</w:t>
      </w:r>
      <w:bookmarkEnd w:id="45"/>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7" w:name="_Ref114668108"/>
      <w:r>
        <w:rPr>
          <w:rFonts w:ascii="Cambria" w:hAnsi="Cambria" w:cstheme="minorHAnsi"/>
          <w:bCs/>
          <w:sz w:val="24"/>
          <w:szCs w:val="24"/>
        </w:rPr>
        <w:lastRenderedPageBreak/>
        <w:t>Salvo em decorrência de fato superveniente devidamente justificado, não mantiver a proposta em especial quando:</w:t>
      </w:r>
      <w:bookmarkEnd w:id="47"/>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b.1) não enviar a proposta adequada ao último lance ofertado ou após a negociação;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b.2) recusar-se a enviar o detalhamento da proposta quando exigível;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b.3) pedir para ser desclassificado quando encerrada a etapa competitiva; ou </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b.4) deixar de apresentar amostra;</w:t>
      </w:r>
    </w:p>
    <w:p>
      <w:pPr>
        <w:pStyle w:val="PargrafodaLista"/>
        <w:tabs>
          <w:tab w:val="left" w:pos="284"/>
          <w:tab w:val="left" w:pos="851"/>
          <w:tab w:val="left" w:pos="1276"/>
          <w:tab w:val="left" w:pos="2525"/>
          <w:tab w:val="center" w:pos="4873"/>
        </w:tabs>
        <w:ind w:left="0"/>
        <w:jc w:val="both"/>
        <w:rPr>
          <w:rFonts w:ascii="Cambria" w:hAnsi="Cambria" w:cstheme="minorHAnsi"/>
          <w:bCs/>
          <w:sz w:val="24"/>
          <w:szCs w:val="24"/>
        </w:rPr>
      </w:pPr>
      <w:r>
        <w:rPr>
          <w:rFonts w:ascii="Cambria" w:hAnsi="Cambria" w:cstheme="minorHAnsi"/>
          <w:bCs/>
          <w:sz w:val="24"/>
          <w:szCs w:val="24"/>
        </w:rPr>
        <w:t xml:space="preserve">b.5) apresentar proposta ou amostra em desacordo com as especificações do edital;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8" w:name="_Ref114668139"/>
      <w:r>
        <w:rPr>
          <w:rFonts w:ascii="Cambria" w:hAnsi="Cambria" w:cstheme="minorHAnsi"/>
          <w:bCs/>
          <w:sz w:val="24"/>
          <w:szCs w:val="24"/>
        </w:rPr>
        <w:t>Não celebrar INSTRUMENTO CONTRATUAL e o contrato ou não entregar a documentação exigida para a assinatura de tais instrumentos, quando convocado dentro do prazo de validade de sua proposta;</w:t>
      </w:r>
      <w:bookmarkEnd w:id="48"/>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Recusar-se, sem justificativa, a assinar a contrato, ou a aceitar ou retirar o instrumento equivalente no prazo estabelecido pela Administração;</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49" w:name="_Ref114668249"/>
      <w:r>
        <w:rPr>
          <w:rFonts w:ascii="Cambria" w:hAnsi="Cambria" w:cstheme="minorHAnsi"/>
          <w:bCs/>
          <w:sz w:val="24"/>
          <w:szCs w:val="24"/>
        </w:rPr>
        <w:t>Apresentar declaração ou documentação falsa exigida para o certame ou prestar declaração falsa durante a licitação</w:t>
      </w:r>
      <w:bookmarkEnd w:id="49"/>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0" w:name="_Ref114668245"/>
      <w:r>
        <w:rPr>
          <w:rFonts w:ascii="Cambria" w:hAnsi="Cambria" w:cstheme="minorHAnsi"/>
          <w:bCs/>
          <w:sz w:val="24"/>
          <w:szCs w:val="24"/>
        </w:rPr>
        <w:t>Fraudar a licitação</w:t>
      </w:r>
      <w:bookmarkEnd w:id="50"/>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1" w:name="_Ref114668247"/>
      <w:r>
        <w:rPr>
          <w:rFonts w:ascii="Cambria" w:hAnsi="Cambria" w:cstheme="minorHAnsi"/>
          <w:bCs/>
          <w:sz w:val="24"/>
          <w:szCs w:val="24"/>
        </w:rPr>
        <w:t>Comportar-se de modo inidôneo ou cometer fraude de qualquer natureza, em especial quando:</w:t>
      </w:r>
      <w:bookmarkEnd w:id="51"/>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Agir em conluio ou em desconformidade com a lei;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Induzir deliberadamente a erro no julgamento;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r>
        <w:rPr>
          <w:rFonts w:ascii="Cambria" w:hAnsi="Cambria" w:cstheme="minorHAnsi"/>
          <w:bCs/>
          <w:sz w:val="24"/>
          <w:szCs w:val="24"/>
        </w:rPr>
        <w:t xml:space="preserve">Apresentar amostra falsificada ou deteriorada; </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2" w:name="_Ref114668251"/>
      <w:r>
        <w:rPr>
          <w:rFonts w:ascii="Cambria" w:hAnsi="Cambria" w:cstheme="minorHAnsi"/>
          <w:bCs/>
          <w:sz w:val="24"/>
          <w:szCs w:val="24"/>
        </w:rPr>
        <w:t>Praticar atos ilícitos com vistas a frustrar os objetivos da licitação</w:t>
      </w:r>
      <w:bookmarkEnd w:id="52"/>
      <w:r>
        <w:rPr>
          <w:rFonts w:ascii="Cambria" w:hAnsi="Cambria" w:cstheme="minorHAnsi"/>
          <w:bCs/>
          <w:sz w:val="24"/>
          <w:szCs w:val="24"/>
        </w:rPr>
        <w:t>;</w:t>
      </w:r>
    </w:p>
    <w:p>
      <w:pPr>
        <w:pStyle w:val="PargrafodaLista"/>
        <w:numPr>
          <w:ilvl w:val="2"/>
          <w:numId w:val="28"/>
        </w:numPr>
        <w:tabs>
          <w:tab w:val="left" w:pos="284"/>
          <w:tab w:val="left" w:pos="851"/>
          <w:tab w:val="left" w:pos="1276"/>
          <w:tab w:val="left" w:pos="2525"/>
          <w:tab w:val="center" w:pos="4873"/>
        </w:tabs>
        <w:suppressAutoHyphens w:val="0"/>
        <w:ind w:left="0" w:firstLine="0"/>
        <w:jc w:val="both"/>
        <w:rPr>
          <w:rFonts w:ascii="Cambria" w:hAnsi="Cambria" w:cstheme="minorHAnsi"/>
          <w:bCs/>
          <w:sz w:val="24"/>
          <w:szCs w:val="24"/>
        </w:rPr>
      </w:pPr>
      <w:bookmarkStart w:id="53" w:name="_Ref114668252"/>
      <w:r>
        <w:rPr>
          <w:rFonts w:ascii="Cambria" w:hAnsi="Cambria" w:cstheme="minorHAnsi"/>
          <w:bCs/>
          <w:sz w:val="24"/>
          <w:szCs w:val="24"/>
        </w:rPr>
        <w:t xml:space="preserve">praticar ato lesivo previsto no </w:t>
      </w:r>
      <w:hyperlink r:id="rId35" w:anchor="art5" w:history="1">
        <w:r>
          <w:rPr>
            <w:rFonts w:ascii="Cambria" w:hAnsi="Cambria" w:cstheme="minorHAnsi"/>
            <w:bCs/>
            <w:sz w:val="24"/>
            <w:szCs w:val="24"/>
          </w:rPr>
          <w:t>art. 5º da Lei n.º 12.846, de 2013</w:t>
        </w:r>
      </w:hyperlink>
      <w:r>
        <w:rPr>
          <w:rFonts w:ascii="Cambria" w:hAnsi="Cambria" w:cstheme="minorHAnsi"/>
          <w:bCs/>
          <w:sz w:val="24"/>
          <w:szCs w:val="24"/>
        </w:rPr>
        <w:t>.</w:t>
      </w:r>
      <w:bookmarkEnd w:id="53"/>
    </w:p>
    <w:p>
      <w:pPr>
        <w:pStyle w:val="PargrafodaLista"/>
        <w:tabs>
          <w:tab w:val="left" w:pos="284"/>
          <w:tab w:val="left" w:pos="851"/>
          <w:tab w:val="left" w:pos="1276"/>
          <w:tab w:val="left" w:pos="2525"/>
          <w:tab w:val="center" w:pos="4873"/>
        </w:tabs>
        <w:suppressAutoHyphens w:val="0"/>
        <w:ind w:left="0"/>
        <w:jc w:val="both"/>
        <w:rPr>
          <w:rFonts w:ascii="Cambria" w:hAnsi="Cambria" w:cstheme="minorHAnsi"/>
          <w:bCs/>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Nos termos dos arts. 155, 156 e 162 da Lei 14.133/2021 e das disposições constantes do Termo de referência, após o regular Procedimento Administrativo de Apuração de Responsabilidade - PAAR, serão apenadas de acordo com a seguinte dosimetria, sem prejuízo das multas eventualmente previstas no Termo de Referência e das demais penalidades legais, assegurado a prévia e ampla defesa:</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tc>
          <w:tcPr>
            <w:tcW w:w="4814" w:type="dxa"/>
            <w:shd w:val="clear" w:color="auto" w:fill="F2F2F2"/>
          </w:tcPr>
          <w:p>
            <w:pPr>
              <w:pStyle w:val="Default"/>
              <w:jc w:val="center"/>
              <w:rPr>
                <w:rFonts w:ascii="Cambria" w:hAnsi="Cambria" w:cstheme="minorHAnsi"/>
                <w:sz w:val="24"/>
                <w:szCs w:val="24"/>
              </w:rPr>
            </w:pPr>
            <w:bookmarkStart w:id="54" w:name="_Hlk157588741"/>
            <w:r>
              <w:rPr>
                <w:rFonts w:ascii="Cambria" w:hAnsi="Cambria" w:cstheme="minorHAnsi"/>
                <w:b/>
                <w:bCs/>
                <w:sz w:val="24"/>
                <w:szCs w:val="24"/>
              </w:rPr>
              <w:t>Ocorrência</w:t>
            </w:r>
          </w:p>
        </w:tc>
        <w:tc>
          <w:tcPr>
            <w:tcW w:w="4815" w:type="dxa"/>
            <w:shd w:val="clear" w:color="auto" w:fill="F2F2F2"/>
          </w:tcPr>
          <w:p>
            <w:pPr>
              <w:pStyle w:val="Default"/>
              <w:jc w:val="center"/>
              <w:rPr>
                <w:rFonts w:ascii="Cambria" w:hAnsi="Cambria" w:cstheme="minorHAnsi"/>
                <w:sz w:val="24"/>
                <w:szCs w:val="24"/>
              </w:rPr>
            </w:pPr>
            <w:r>
              <w:rPr>
                <w:rFonts w:ascii="Cambria" w:hAnsi="Cambria" w:cstheme="minorHAnsi"/>
                <w:b/>
                <w:bCs/>
                <w:sz w:val="24"/>
                <w:szCs w:val="24"/>
              </w:rPr>
              <w:t>Penalidade</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a inexecução parcial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Advertência,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à inexecução parcial do objeto que cause grave dano à Administração, ao funcionamento dos serviços públicos ou ao interesse coletivo.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6 (seis) meses a 2 (dois)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Dar causa à inexecução total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1 um) ano a 3 (três)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Deixar de entregar documentação exigida para o certame.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1 mês a 6 meses,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bCs/>
                <w:sz w:val="24"/>
                <w:szCs w:val="24"/>
              </w:rPr>
            </w:pPr>
            <w:r>
              <w:rPr>
                <w:rFonts w:ascii="Cambria" w:hAnsi="Cambria" w:cstheme="minorHAnsi"/>
                <w:sz w:val="24"/>
                <w:szCs w:val="24"/>
              </w:rPr>
              <w:lastRenderedPageBreak/>
              <w:t xml:space="preserve">Não mantiver a proposta, salvo em decorrência de fato superveniente devidamente justificado.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2 (dois) meses a 1 (um) ano,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Não celebrar a INSTRUMENTO CONTRATUAL ou não entregar a documentação exigida para a contratação quando convocado dentro do prazo de validade de sua proposta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3 (três) meses a 2 (dois) anos,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Ensejar o retardamento da execução do objeto ou da entrega do objeto da licitação sem motivo justificado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Impedimento de licitar e contratar no âmbito da União pelo período de 3 (três) meses a 1 (um) ano e 6 (seis) meses, quando não se justificar a imposição de penalidade mais grave. </w:t>
            </w:r>
          </w:p>
        </w:tc>
      </w:tr>
      <w:tr>
        <w:tc>
          <w:tcPr>
            <w:tcW w:w="4814" w:type="dxa"/>
            <w:vAlign w:val="center"/>
          </w:tcPr>
          <w:p>
            <w:pPr>
              <w:pStyle w:val="Default"/>
              <w:numPr>
                <w:ilvl w:val="0"/>
                <w:numId w:val="29"/>
              </w:numPr>
              <w:tabs>
                <w:tab w:val="left" w:pos="316"/>
              </w:tabs>
              <w:ind w:left="32" w:firstLine="0"/>
              <w:jc w:val="both"/>
              <w:rPr>
                <w:rFonts w:ascii="Cambria" w:hAnsi="Cambria" w:cstheme="minorHAnsi"/>
                <w:bCs/>
                <w:sz w:val="24"/>
                <w:szCs w:val="24"/>
              </w:rPr>
            </w:pPr>
            <w:r>
              <w:rPr>
                <w:rFonts w:ascii="Cambria" w:hAnsi="Cambria" w:cstheme="minorHAnsi"/>
                <w:sz w:val="24"/>
                <w:szCs w:val="24"/>
              </w:rPr>
              <w:t>Apresentar declaração ou documentação falsa exigida para o certame ou prestar declaração falsa durante a licitação ou a execução do objeto</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Fraudar a licitação ou praticar ato fraudulento na execução do objeto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Comportar-se de modo inidôneo ou cometer fraude de qualquer natureza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Praticar atos ilícitos com vistas a frustrar os objetivos da licitação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tr>
        <w:tc>
          <w:tcPr>
            <w:tcW w:w="4814" w:type="dxa"/>
            <w:vAlign w:val="center"/>
          </w:tcPr>
          <w:p>
            <w:pPr>
              <w:pStyle w:val="Default"/>
              <w:numPr>
                <w:ilvl w:val="0"/>
                <w:numId w:val="29"/>
              </w:numPr>
              <w:tabs>
                <w:tab w:val="left" w:pos="316"/>
              </w:tabs>
              <w:ind w:left="32" w:firstLine="0"/>
              <w:jc w:val="both"/>
              <w:rPr>
                <w:rFonts w:ascii="Cambria" w:hAnsi="Cambria" w:cstheme="minorHAnsi"/>
                <w:sz w:val="24"/>
                <w:szCs w:val="24"/>
              </w:rPr>
            </w:pPr>
            <w:r>
              <w:rPr>
                <w:rFonts w:ascii="Cambria" w:hAnsi="Cambria" w:cstheme="minorHAnsi"/>
                <w:sz w:val="24"/>
                <w:szCs w:val="24"/>
              </w:rPr>
              <w:t xml:space="preserve">Praticar ato lesivo previsto no art. 5º da Lei nº 12.846, de 1º de agosto de 2013 </w:t>
            </w:r>
          </w:p>
        </w:tc>
        <w:tc>
          <w:tcPr>
            <w:tcW w:w="4815" w:type="dxa"/>
            <w:vAlign w:val="center"/>
          </w:tcPr>
          <w:p>
            <w:pPr>
              <w:pStyle w:val="Default"/>
              <w:jc w:val="both"/>
              <w:rPr>
                <w:rFonts w:ascii="Cambria" w:hAnsi="Cambria" w:cstheme="minorHAnsi"/>
                <w:sz w:val="24"/>
                <w:szCs w:val="24"/>
              </w:rPr>
            </w:pPr>
            <w:r>
              <w:rPr>
                <w:rFonts w:ascii="Cambria" w:hAnsi="Cambria" w:cstheme="minorHAnsi"/>
                <w:sz w:val="24"/>
                <w:szCs w:val="24"/>
              </w:rPr>
              <w:t xml:space="preserve">Declaração de inidoneidade para licitar ou contratar, pelo período de 3 (três) a 6 (seis) anos. </w:t>
            </w:r>
          </w:p>
        </w:tc>
      </w:tr>
      <w:bookmarkEnd w:id="54"/>
    </w:tbl>
    <w:p>
      <w:pPr>
        <w:jc w:val="both"/>
        <w:rPr>
          <w:rFonts w:ascii="Cambria" w:hAnsi="Cambria" w:cstheme="minorHAnsi"/>
          <w:bCs/>
          <w:sz w:val="24"/>
          <w:szCs w:val="24"/>
        </w:rPr>
      </w:pPr>
    </w:p>
    <w:p>
      <w:pPr>
        <w:pStyle w:val="PargrafodaLista"/>
        <w:numPr>
          <w:ilvl w:val="1"/>
          <w:numId w:val="5"/>
        </w:numPr>
        <w:tabs>
          <w:tab w:val="left" w:pos="567"/>
        </w:tabs>
        <w:ind w:left="0" w:firstLine="0"/>
        <w:jc w:val="both"/>
        <w:rPr>
          <w:rFonts w:ascii="Cambria" w:hAnsi="Cambria" w:cstheme="minorHAnsi"/>
          <w:sz w:val="24"/>
          <w:szCs w:val="24"/>
        </w:rPr>
      </w:pPr>
      <w:bookmarkStart w:id="55" w:name="_Hlk157588822"/>
      <w:r>
        <w:rPr>
          <w:rFonts w:ascii="Cambria" w:hAnsi="Cambria" w:cstheme="minorHAnsi"/>
          <w:sz w:val="24"/>
          <w:szCs w:val="24"/>
        </w:rPr>
        <w:t xml:space="preserve">Nas condutas previstas nas letras “b”, “c”, “d”, “e”, “f” e “g” do item 14.3, quando justificada a imposição de penalidade mais grave, será aplicada a sanção de declaração de inidoneidade para licitar e contratar, que impedirá o responsável de licitar ou contratar no âmbito da Administração Pública direta e indireta de todos os entes federativos, pelo prazo mínimo de 3 (três) anos e máximo de 6 (seis) anos. </w:t>
      </w:r>
      <w:bookmarkEnd w:id="55"/>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sz w:val="24"/>
          <w:szCs w:val="24"/>
        </w:rPr>
        <w:t>PROCEDIMENTO ADMINISTRATIVO:</w:t>
      </w:r>
      <w:r>
        <w:rPr>
          <w:rFonts w:ascii="Cambria" w:hAnsi="Cambria" w:cstheme="minorHAnsi"/>
          <w:sz w:val="24"/>
          <w:szCs w:val="24"/>
        </w:rPr>
        <w:t xml:space="preserve"> As sanções serão aplicadas após regular processo administrativo, assegurada a ampla defesa e o contraditório.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Para todo ato inconveniente ou ilícito que tenha indício de causar dano ou prejuízo a Administração Pública ou ao erário deverá inaugurar um procedimento administrativo de apuração dos fatos. Os casos ocorridos durante os procedimentos de contratação serão comunicados oficialmente e formalmente pela Pregoeira ou por qualquer outro servidor o qual presencie o cometimento do ato, o qual devem ser reportados à Assessoria Jurídica do Departamento de Gestão de Licitações para a devida apuração.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As penalidades somente deixarão de ser aplicadas mediante comprovação, anexada aos autos, da ocorrência de força maior impeditiva do cumprimento da obrigação e/ou manifestação da unidade requisitante, informando que o ocorrido derivou de fatos imputáveis à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hipótese de abertura de processo administrativo destinado a apuração de fatos e, se for o caso, aplicação de sanções à proponente, em decorrência de conduta vedada neste Pregão, as comunicações à proponente serão efetuadas por meio do endereço de correio eletrônico ("e-mail") declarado ou apresentado nos documentos do processo.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proponente deverá manter atualizado o endereço de correio eletrônico ("e-mail") cadastrado junto ao SICAF e confirmar o recebimento das mensagens provenientes do município de Miraíma/CE, não podendo alegar o desconhecimento do recebimento das comunicações por este meio como justificativa para se eximir das responsabilidades assumidas ou eventuais sanções aplicadas.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Quando a ação ou omissão ensejar a prática de mais de uma infração, será aplicada a mais grave das penas cabíveis ou, se iguais, somente uma delas, mas aumentada, em qualquer caso, de 1/3 até metade, justificadamente, em decorrência da gravidade da conduta.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penalidade resultante da aplicação do item anterior não poderá ser maior do que as penalidades consideradas cumulativamente.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O cometimento reiterado de atrasos injustificados dos prazos previstos para a execução do objeto poderá resultar no cancelamento do contrato do Fornecedor.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Será considerado em estado de reiterado cometimento de atrasos dos prazos o Fornecedor que incorrer no terceiro atraso injustificado, ao longo da vigência do contrato.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multa, calculada na forma do Anexo I - Termo de Referência, não poderá ser inferior a 1% (um por cento) nem superior a 30% (trinta por cento) do valor do Instrumento Contratual e será aplicada ao responsável por qualquer das infrações administrativas previstas no art. 155 da Lei n. 14.133/2021.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 a multa aplicada e as indenizações cabíveis forem superiores ao valor de pagamento eventualmente devido pela Administração ao Fornecedor, além da perda desse valor, a diferença será descontada da garantia prestada ou será cobrada judicialmente.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Se a garantia contratual exigida for prestada por seguradora, essa será notificada da abertura de processo de apuração de responsabilidade do qual possa resultar na aplicação da penalidade de multa ao Fornecedor.</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O licitante ou o Adjudicatário será notificado para apresentar defesa prévia no prazo de 15 (quinze) dias úteis, a contar do recebimento da notificação. Da decisão que aplicar as sanções de advertência, multas e impedimento de licitar e contratar, caberá recurso administrativo no prazo de </w:t>
      </w:r>
      <w:bookmarkStart w:id="56" w:name="_Hlk142640042"/>
      <w:r>
        <w:rPr>
          <w:rFonts w:ascii="Cambria" w:hAnsi="Cambria" w:cstheme="minorHAnsi"/>
          <w:sz w:val="24"/>
          <w:szCs w:val="24"/>
        </w:rPr>
        <w:t>15 (quinze) dias úteis</w:t>
      </w:r>
      <w:bookmarkEnd w:id="56"/>
      <w:r>
        <w:rPr>
          <w:rFonts w:ascii="Cambria" w:hAnsi="Cambria" w:cstheme="minorHAnsi"/>
          <w:sz w:val="24"/>
          <w:szCs w:val="24"/>
        </w:rPr>
        <w:t xml:space="preserve">, a contar da intimação do ato.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aplicação das sanções previstas neste Edital não exclui, em hipótese alguma, a obrigação de reparação integral do dano causado à Administração Pública.</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aplicação das sanções previstas de impedimento de licitar e contratar e declaração de inidoneidade para licitar ou contratar, cumuladas ou não com multa, requererá a instauração de Procedimento Administrativo de Apuração de Responsabilidade - PAAR, a ser conduzido por comissão composta de no mínimo 2 (dois) servidores estáveis, que avaliará fatos e circunstâncias conhecidos e intimará o licitante ou o fornecedor para, no prazo de 15 (quinze) dias úteis, contado da data de intimação, apresentar defesa escrita </w:t>
      </w:r>
      <w:bookmarkStart w:id="57" w:name="_Hlk142639675"/>
      <w:r>
        <w:rPr>
          <w:rFonts w:ascii="Cambria" w:hAnsi="Cambria" w:cstheme="minorHAnsi"/>
          <w:sz w:val="24"/>
          <w:szCs w:val="24"/>
        </w:rPr>
        <w:t>e especificar as provas que pretenda produzir</w:t>
      </w:r>
      <w:bookmarkEnd w:id="57"/>
      <w:r>
        <w:rPr>
          <w:rFonts w:ascii="Cambria" w:hAnsi="Cambria" w:cstheme="minorHAnsi"/>
          <w:sz w:val="24"/>
          <w:szCs w:val="24"/>
        </w:rPr>
        <w:t xml:space="preserv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 xml:space="preserve">Na </w:t>
      </w:r>
      <w:bookmarkStart w:id="58" w:name="_Hlk142639719"/>
      <w:r>
        <w:rPr>
          <w:rFonts w:ascii="Cambria" w:hAnsi="Cambria" w:cstheme="minorHAnsi"/>
          <w:sz w:val="24"/>
          <w:szCs w:val="24"/>
        </w:rPr>
        <w:t>hipótese de deferimento de pedido de produção de novas provas ou de juntada de provas julgadas indispensáveis pela comissão, o licitante ou o Fornecedor poderá apresentar alegações finais no prazo de 15 dias úteis, contado da data da intimação</w:t>
      </w:r>
      <w:bookmarkEnd w:id="58"/>
      <w:r>
        <w:rPr>
          <w:rFonts w:ascii="Cambria" w:hAnsi="Cambria" w:cstheme="minorHAnsi"/>
          <w:sz w:val="24"/>
          <w:szCs w:val="24"/>
        </w:rPr>
        <w:t xml:space="preserve">.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Serão indeferidas pela Comissão de PAR, mediante decisão fundamentada, provas ilícitas, impertinentes, desnecessárias, protelatórias ou intempestivas.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A prescrição da pretensão de aplicação das sanções ocorrerá em 5 (cinco) anos, contados da ciência da infração pela Administração, e será interrompida e suspensa na forma da Lei. </w:t>
      </w:r>
    </w:p>
    <w:p>
      <w:pPr>
        <w:pStyle w:val="PargrafodaLista"/>
        <w:numPr>
          <w:ilvl w:val="1"/>
          <w:numId w:val="5"/>
        </w:numPr>
        <w:tabs>
          <w:tab w:val="left" w:pos="567"/>
        </w:tabs>
        <w:ind w:left="0" w:firstLine="0"/>
        <w:jc w:val="both"/>
        <w:rPr>
          <w:rFonts w:ascii="Cambria" w:hAnsi="Cambria" w:cstheme="minorHAnsi"/>
          <w:sz w:val="24"/>
          <w:szCs w:val="24"/>
        </w:rPr>
      </w:pPr>
      <w:bookmarkStart w:id="59" w:name="_Hlk142640335"/>
      <w:r>
        <w:rPr>
          <w:rFonts w:ascii="Cambria" w:hAnsi="Cambria" w:cstheme="minorHAnsi"/>
          <w:sz w:val="24"/>
          <w:szCs w:val="24"/>
        </w:rPr>
        <w:t>Excepcionalmente, desde que justificado pelo gestor da ata, no Procedimento Administrativo de Apuração de Responsabilidade - PAAR, o município poderá, ad cautelam, efetuar a retenção do valor da multa presumida, em conformidade com o instrumento convocatório, Termo de Referência, ou INSTRUMENTO CONTRATUAL, e instaurar de imediato o procedimento administrativo para apuração de responsabilidade por descumprimento, que deverá ter tramitação prioritária</w:t>
      </w:r>
      <w:bookmarkEnd w:id="59"/>
      <w:r>
        <w:rPr>
          <w:rFonts w:ascii="Cambria" w:hAnsi="Cambria" w:cstheme="minorHAnsi"/>
          <w:sz w:val="24"/>
          <w:szCs w:val="24"/>
        </w:rPr>
        <w:t>.</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Todas as penalidades serão registradas, para efeito de publicidade, no Sistema de Cadastramento Unificado de Fornecedores (SICAF), no cadastro Consolidado de Pessoa Jurídica do TCU, no Cadastro Nacional de Empresas Inidôneas (CEIS), no Cadastro Nacional de Empresas Punidas (CNEP) e demais sistemas internos, no prazo máximo de 15 dias úteis, contado da data de aplicação da sanção. </w:t>
      </w:r>
    </w:p>
    <w:p>
      <w:pPr>
        <w:pStyle w:val="PargrafodaLista"/>
        <w:numPr>
          <w:ilvl w:val="1"/>
          <w:numId w:val="5"/>
        </w:numPr>
        <w:tabs>
          <w:tab w:val="left" w:pos="567"/>
        </w:tabs>
        <w:ind w:left="0" w:firstLine="0"/>
        <w:jc w:val="both"/>
        <w:rPr>
          <w:rFonts w:ascii="Cambria" w:hAnsi="Cambria" w:cstheme="minorHAnsi"/>
          <w:sz w:val="24"/>
          <w:szCs w:val="24"/>
        </w:rPr>
      </w:pPr>
      <w:bookmarkStart w:id="60" w:name="_Hlk142640413"/>
      <w:r>
        <w:rPr>
          <w:rFonts w:ascii="Cambria" w:hAnsi="Cambria" w:cstheme="minorHAnsi"/>
          <w:sz w:val="24"/>
          <w:szCs w:val="24"/>
        </w:rPr>
        <w:t xml:space="preserve">No caso de provimento do recurso ou de reconsideração da decisão, os autos serão remetidos à Secretaria de Finanças para devolução ao fornecedor dos valores eventualmente retidos. </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instrumentos de requerimentos, de defesas prévias e de recursos eventualmente interpostos pelos licitantes, adjudicatários e/ou por quaisquer interessados deverão ser instruídos com os documentos hábeis à prova das alegações neles contidas. Referidos documentos probatórios deverão ser apresentados em suas versões originais e/ou em versões conferidas com o original por servidores da Administração Pública, sob pena de, a critério exclusivo do município, não serem avaliados. Caso o fornecimento de cópias de documentos seja requerido ao município, as despesas correspondentes deverão ser ressarcidas previamente, em Documento de Arrecadação Municipal - DAM.</w:t>
      </w:r>
    </w:p>
    <w:bookmarkEnd w:id="60"/>
    <w:p>
      <w:pPr>
        <w:jc w:val="both"/>
        <w:rPr>
          <w:rFonts w:ascii="Cambria" w:hAnsi="Cambria" w:cstheme="minorHAnsi"/>
          <w:snapToGrid w:val="0"/>
          <w:sz w:val="24"/>
          <w:szCs w:val="24"/>
          <w:lang w:eastAsia="ar-SA"/>
        </w:rPr>
      </w:pPr>
    </w:p>
    <w:p>
      <w:pPr>
        <w:pStyle w:val="Ttulo1"/>
        <w:tabs>
          <w:tab w:val="clear" w:pos="284"/>
          <w:tab w:val="left" w:pos="426"/>
        </w:tabs>
        <w:ind w:left="0" w:firstLine="0"/>
        <w:rPr>
          <w:rFonts w:ascii="Cambria" w:hAnsi="Cambria" w:cstheme="minorHAnsi"/>
          <w:sz w:val="24"/>
          <w:szCs w:val="24"/>
        </w:rPr>
      </w:pPr>
      <w:bookmarkStart w:id="61" w:name="_Toc161741811"/>
      <w:bookmarkStart w:id="62" w:name="_Toc164093670"/>
      <w:r>
        <w:rPr>
          <w:rFonts w:ascii="Cambria" w:hAnsi="Cambria" w:cstheme="minorHAnsi"/>
          <w:sz w:val="24"/>
          <w:szCs w:val="24"/>
        </w:rPr>
        <w:t>FRAUDE E CORRUPÇÃO</w:t>
      </w:r>
      <w:bookmarkEnd w:id="61"/>
      <w:bookmarkEnd w:id="62"/>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proponentes deverão observar os mais altos padrões éticos durante o processo licitatório e a execução do contrato, estando sujeitas às sanções previstas na legislação brasileira. Para os propósitos deste item, definem-se as seguintes práticas:</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a) “prática corrupta”: oferecer, dar, receber ou solicitar, direta ou indiretamente, qualquer vantagem com o objetivo de influenciar a ação de servidor público no processo de licitação ou na execução de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b) “prática fraudulenta”: a falsificação ou omissão dos fatos, com o objetivo de influenciar o processo de licitação ou de execução de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c) “prática conluiada”: esquematizar ou estabelecer um acordo entre duas ou mais proponentes, com ou sem o conhecimento de representantes ou prepostos do órgão licitador, visando estabelecer preços em níveis artificiais e não-competitivos;</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d) “prática coercitiva”: causar dano ou ameaçar causar dano, direta ou indiretamente, às pessoas ou sua propriedade, visando a influenciar sua participação em um processo licitatório ou afetar a execução do contrato.</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lastRenderedPageBreak/>
        <w:t>e) “prática obstrutiva”:</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(1) destruir, falsificar, alterar ou ocultar provas em inspeções ou fazer declarações falsas aos representantes do organismo financeiro multilateral, com o objetivo de impedir materialmente a apuração de alegações de prática prevista neste subitem;</w:t>
      </w:r>
    </w:p>
    <w:p>
      <w:pPr>
        <w:autoSpaceDE w:val="0"/>
        <w:autoSpaceDN w:val="0"/>
        <w:adjustRightInd w:val="0"/>
        <w:jc w:val="both"/>
        <w:rPr>
          <w:rFonts w:ascii="Cambria" w:eastAsia="Times New Roman" w:hAnsi="Cambria" w:cstheme="minorHAnsi"/>
          <w:spacing w:val="-1"/>
          <w:sz w:val="24"/>
          <w:szCs w:val="24"/>
        </w:rPr>
      </w:pPr>
      <w:r>
        <w:rPr>
          <w:rFonts w:ascii="Cambria" w:eastAsia="Times New Roman" w:hAnsi="Cambria" w:cstheme="minorHAnsi"/>
          <w:spacing w:val="-1"/>
          <w:sz w:val="24"/>
          <w:szCs w:val="24"/>
        </w:rPr>
        <w:t>(2) atos cuja intenção seja impedir materialmente o exercício do direito de o organismo financeiro multilateral promover inspeção.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contratante, garantida a prévia defesa, aplicará as sanções administrativas pertinentes, previstas na Lei Federal nº 14.133, de 1º de abril de 2021, se comprovar o envolvimento de representante da empresa ou da pessoa física contratada em práticas corruptas, fraudulentas, conluiadas ou coercitivas, no decorrer da licitação ou na execução do contrato financiado por organismo financeiro multilateral, sem prejuízo das demais medidas administrativas, criminais e cíveis.</w:t>
      </w:r>
    </w:p>
    <w:p>
      <w:pPr>
        <w:autoSpaceDE w:val="0"/>
        <w:autoSpaceDN w:val="0"/>
        <w:adjustRightInd w:val="0"/>
        <w:jc w:val="both"/>
        <w:rPr>
          <w:rFonts w:ascii="Cambria" w:eastAsia="Times New Roman" w:hAnsi="Cambria" w:cstheme="minorHAnsi"/>
          <w:spacing w:val="-1"/>
          <w:sz w:val="24"/>
          <w:szCs w:val="24"/>
        </w:rPr>
      </w:pPr>
    </w:p>
    <w:p>
      <w:pPr>
        <w:pStyle w:val="Ttulo1"/>
        <w:shd w:val="clear" w:color="auto" w:fill="F2F2F2"/>
        <w:tabs>
          <w:tab w:val="clear" w:pos="284"/>
          <w:tab w:val="left" w:pos="426"/>
        </w:tabs>
        <w:ind w:left="0" w:firstLine="0"/>
        <w:rPr>
          <w:rFonts w:ascii="Cambria" w:hAnsi="Cambria" w:cstheme="minorHAnsi"/>
          <w:sz w:val="24"/>
          <w:szCs w:val="24"/>
          <w:u w:val="single"/>
        </w:rPr>
      </w:pPr>
      <w:bookmarkStart w:id="63" w:name="_Toc161741812"/>
      <w:bookmarkStart w:id="64" w:name="_Toc164093671"/>
      <w:r>
        <w:rPr>
          <w:rFonts w:ascii="Cambria" w:hAnsi="Cambria" w:cstheme="minorHAnsi"/>
          <w:sz w:val="24"/>
          <w:szCs w:val="24"/>
        </w:rPr>
        <w:t>DOS ESCLARECIMENTOS, IMPUGNAÇÕES, DILIGÊNCIAS, REVOGAÇÃO E ANULAÇÃO</w:t>
      </w:r>
      <w:bookmarkEnd w:id="63"/>
      <w:bookmarkEnd w:id="64"/>
      <w:r>
        <w:rPr>
          <w:rFonts w:ascii="Cambria" w:hAnsi="Cambria" w:cstheme="minorHAnsi"/>
          <w:sz w:val="24"/>
          <w:szCs w:val="24"/>
        </w:rPr>
        <w:t xml:space="preserve"> </w:t>
      </w:r>
      <w:r>
        <w:rPr>
          <w:rFonts w:ascii="Cambria" w:hAnsi="Cambria" w:cstheme="minorHAnsi"/>
          <w:sz w:val="24"/>
          <w:szCs w:val="24"/>
          <w:u w:val="single"/>
        </w:rPr>
        <w:t>DAS SOLICITAÇÕES DE ESCLARECIMENTO E IMPUGNAÇÕES</w:t>
      </w:r>
    </w:p>
    <w:p>
      <w:pPr>
        <w:pStyle w:val="PargrafodaLista"/>
        <w:ind w:left="0"/>
        <w:jc w:val="both"/>
        <w:rPr>
          <w:rFonts w:ascii="Cambria" w:hAnsi="Cambria" w:cstheme="minorHAnsi"/>
          <w:sz w:val="24"/>
          <w:szCs w:val="24"/>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 xml:space="preserve">Qualquer pessoa física ou jurídica poderá, no prazo de até </w:t>
      </w:r>
      <w:r>
        <w:rPr>
          <w:rFonts w:ascii="Cambria" w:hAnsi="Cambria" w:cstheme="minorHAnsi"/>
          <w:b/>
          <w:bCs/>
          <w:sz w:val="24"/>
          <w:szCs w:val="24"/>
        </w:rPr>
        <w:t>03 (três) dias úteis</w:t>
      </w:r>
      <w:r>
        <w:rPr>
          <w:rFonts w:ascii="Cambria" w:hAnsi="Cambria" w:cstheme="minorHAnsi"/>
          <w:sz w:val="24"/>
          <w:szCs w:val="24"/>
        </w:rPr>
        <w:t xml:space="preserve"> antes da data fixada para recebimento das Propostas de Preços, solicitar esclarecimento e ou impugnar o ato convocatório deste Pregão.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Decairá do direito de impugnar os termos do edital de licitação perante a Administração aquele que não o fizer dentro do prazo fixado neste subitem, hipótese em que tal comunicação não terá efeito de recurso.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Impugnação feita tempestivamente pelo proponente não o impedirá de participar do processo licitatório até o trânsito em julgado da decisão a ela pertinente.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Somente serão aceitas solicitações de esclarecimentos, providências ou impugnações mediante petição confeccionada em máquina datilográfica ou impressora eletrônica, em tinta não lavável, bem como, da apresentação de documentos comprobatórios a demandante, desde que devidamente protocolados via e-mail, informado no quadro de resumo deste edital, que preencham os seguintes requisitos: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endereçamento ao Pregoeiro da Prefeitura de Miraíma/CE;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 identificação precisa e completa do autor e seu representante legal (acompanhado dos documentos comprobatórios) se for o caso, contendo o nome, prenome, estado civil, profissão, domicílio, número do documento de identificação, devidamente datada e assinada dentro do prazo editalício;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fato e o fundamento jurídico de seu pedido, indicando quais os itens ou subitens discutidos;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pedido, com suas especificações;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 proponente deverá juntar cópia do ato constitutivo, bem como, documento de identificação (com foto) válido na forma da Lei do responsável legal pela mesma e, ainda, deverá apresentar prova de mandato, se for o caso.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 Pregoeiro poderá requisitar subsídios formais aos responsáveis pela elaboração do edital de licitação e dos anexos.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 xml:space="preserve">Caberá ao Pregoeiro decidir e divulgar em sítio eletrônico oficial no prazo de até </w:t>
      </w:r>
      <w:r>
        <w:rPr>
          <w:rFonts w:ascii="Cambria" w:hAnsi="Cambria" w:cstheme="minorHAnsi"/>
          <w:b/>
          <w:bCs/>
          <w:sz w:val="24"/>
          <w:szCs w:val="24"/>
        </w:rPr>
        <w:t>3 (três) dias úteis</w:t>
      </w:r>
      <w:r>
        <w:rPr>
          <w:rFonts w:ascii="Cambria" w:hAnsi="Cambria" w:cstheme="minorHAnsi"/>
          <w:sz w:val="24"/>
          <w:szCs w:val="24"/>
        </w:rPr>
        <w:t>, limitado ao último dia útil anterior à data da abertura do certame.</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lastRenderedPageBreak/>
        <w:t>A resposta do Município de Miraíma/CE será disponibilizada a todos os interessados mediante afixação de cópia da íntegra do ato proferido pela Administração no sítio virtual:  https://municipios-licitacoes.tce.ce.gov.br/.</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 aditamento prevalecerá sempre em relação ao que for aditado.</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Acolhida a petição de impugnação contra o ato convocatório que importe em modificação dos termos do edital será designada nova data para a realização do certame, exceto quando, inquestionavelmente, a alteração não afetar a formulação das Propostas de Preços.</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Qualquer modificação neste edital será divulgada pela mesma forma que se deu ao texto original.</w:t>
      </w:r>
    </w:p>
    <w:p>
      <w:pPr>
        <w:pStyle w:val="PORTUGUES"/>
        <w:shd w:val="clear" w:color="auto" w:fill="F2F2F2"/>
        <w:jc w:val="center"/>
        <w:rPr>
          <w:rFonts w:ascii="Cambria" w:hAnsi="Cambria" w:cstheme="minorHAnsi"/>
          <w:u w:val="single"/>
        </w:rPr>
      </w:pPr>
      <w:r>
        <w:rPr>
          <w:rFonts w:ascii="Cambria" w:hAnsi="Cambria" w:cstheme="minorHAnsi"/>
          <w:u w:val="single"/>
        </w:rPr>
        <w:t>DILIGÊNCIA, REVOGAÇÃO E ANULAÇÃO</w:t>
      </w:r>
    </w:p>
    <w:p>
      <w:pPr>
        <w:pStyle w:val="PORTUGUES"/>
        <w:jc w:val="both"/>
        <w:rPr>
          <w:rFonts w:ascii="Cambria" w:hAnsi="Cambria" w:cstheme="minorHAnsi"/>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bCs/>
          <w:sz w:val="24"/>
          <w:szCs w:val="24"/>
        </w:rPr>
        <w:t>DILIGÊNCIA:</w:t>
      </w:r>
      <w:r>
        <w:rPr>
          <w:rFonts w:ascii="Cambria" w:hAnsi="Cambria" w:cstheme="minorHAnsi"/>
          <w:sz w:val="24"/>
          <w:szCs w:val="24"/>
        </w:rPr>
        <w:t xml:space="preserve"> Em qualquer fase do procedimento licitatório, o Pregoeiro ou a autoridade superior, poderá promover diligências no sentido de obter esclarecimentos, confirmar informações ou permitir sejam sanadas falhas formais de documentação que complementem a instrução do processo, vedada a inclusão posterior de documento ou informação que deveria constar originariamente da Proposta ou da Habilitação, fixando o prazo para a resposta.</w:t>
      </w:r>
    </w:p>
    <w:p>
      <w:pPr>
        <w:pStyle w:val="PargrafodaLista"/>
        <w:numPr>
          <w:ilvl w:val="2"/>
          <w:numId w:val="5"/>
        </w:numPr>
        <w:ind w:left="0" w:firstLine="0"/>
        <w:jc w:val="both"/>
        <w:rPr>
          <w:rFonts w:ascii="Cambria" w:hAnsi="Cambria" w:cstheme="minorHAnsi"/>
          <w:sz w:val="24"/>
          <w:szCs w:val="24"/>
        </w:rPr>
      </w:pPr>
      <w:r>
        <w:rPr>
          <w:rFonts w:ascii="Cambria" w:hAnsi="Cambria" w:cstheme="minorHAnsi"/>
          <w:sz w:val="24"/>
          <w:szCs w:val="24"/>
        </w:rPr>
        <w:t>Os proponentes notificados para prestar quaisquer esclarecimentos adicionais deverão fazê-lo no prazo determinado pelo Pregoeiro, sob pena de desclassificação/inabilitação.</w:t>
      </w:r>
    </w:p>
    <w:p>
      <w:pPr>
        <w:pStyle w:val="PORTUGUES"/>
        <w:jc w:val="both"/>
        <w:rPr>
          <w:rFonts w:ascii="Cambria" w:hAnsi="Cambria" w:cstheme="minorHAnsi"/>
        </w:rPr>
      </w:pP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b/>
          <w:bCs/>
          <w:sz w:val="24"/>
          <w:szCs w:val="24"/>
        </w:rPr>
        <w:t>REVOGAÇÃO E ANULAÇÃO:</w:t>
      </w:r>
      <w:r>
        <w:rPr>
          <w:rFonts w:ascii="Cambria" w:hAnsi="Cambria" w:cstheme="minorHAnsi"/>
          <w:sz w:val="24"/>
          <w:szCs w:val="24"/>
        </w:rPr>
        <w:t>A autoridade competente para homologar o procedimento licitatório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w:t>
      </w:r>
    </w:p>
    <w:p>
      <w:pPr>
        <w:jc w:val="right"/>
        <w:rPr>
          <w:rFonts w:ascii="Cambria" w:hAnsi="Cambria" w:cstheme="minorHAnsi"/>
          <w:b/>
          <w:sz w:val="24"/>
          <w:szCs w:val="24"/>
        </w:rPr>
      </w:pPr>
    </w:p>
    <w:p>
      <w:pPr>
        <w:pStyle w:val="Ttulo1"/>
        <w:tabs>
          <w:tab w:val="clear" w:pos="284"/>
          <w:tab w:val="left" w:pos="426"/>
        </w:tabs>
        <w:ind w:left="0" w:firstLine="0"/>
        <w:rPr>
          <w:rFonts w:ascii="Cambria" w:hAnsi="Cambria" w:cstheme="minorHAnsi"/>
          <w:sz w:val="24"/>
          <w:szCs w:val="24"/>
        </w:rPr>
      </w:pPr>
      <w:bookmarkStart w:id="65" w:name="_Toc161741813"/>
      <w:bookmarkStart w:id="66" w:name="_Toc164093672"/>
      <w:r>
        <w:rPr>
          <w:rFonts w:ascii="Cambria" w:hAnsi="Cambria" w:cstheme="minorHAnsi"/>
          <w:sz w:val="24"/>
          <w:szCs w:val="24"/>
        </w:rPr>
        <w:t>DISPOSIÇÕES GERAIS</w:t>
      </w:r>
      <w:bookmarkEnd w:id="65"/>
      <w:bookmarkEnd w:id="66"/>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As normas que disciplinam este Pregão Eletrônico serão sempre interpretadas em favor da ampliação da disputa entre os interessados, atendidos o interesse público, sem comprometimento da segurança e do regular funcionamento da administração.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casos omissos poderão ser resolvidos pelo Pregoeiro durante a sessão e pela(s) autoridade(s) competente(s), em outros casos, mediante aplicação dos Regulamentos Municipais que tratam de Licitações e Contratos e da Lei n.º 14.133/2021 de 1º de abril de 2021.</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Nenhuma indenização será devida às proponentes pela elaboração ou pela apresentação de documentação referente ao presente edital, nem em relação às expectativas de contratações dela decorrentes.</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Na contagem dos prazos estabelecidos neste edital, exclui-se o dia de início de contagem e inclui-se o dia do vencimento, observando-se que só se iniciam e vencem prazos em dia de expediente normal no Município, exceto quando for expressamente estabelecido em contrário.</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Os avisos de prosseguimento das sessões, a decisão sobre os recursos interpostos, a Anulação ou revogação serão feitos aos interessados mediante publicação no quadro de avisos da Prefeitura Municipal de Miraíma/CE, conforme disposto na Lei Orgânica do Município e no “chat” do http://www.compras.gov.br/.</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Quaisquer informações poderão ser obtidas das 07:00h às 13:00h, na sede do Setor de Licitação da Prefeitura de Miraíma/CE, situada na Esplanada da Estação, 433 – Centro – Miraíma – CE.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lastRenderedPageBreak/>
        <w:t>O referido edital e seus ANEXOS estão disponíveis no seguinte sítio virtual: https://municipios-licitacoes.tce.ce.gov.br, nos termos da IN 04/2015-TCM/CE.</w:t>
      </w:r>
    </w:p>
    <w:p>
      <w:pPr>
        <w:pStyle w:val="PargrafodaLista"/>
        <w:numPr>
          <w:ilvl w:val="1"/>
          <w:numId w:val="5"/>
        </w:numPr>
        <w:tabs>
          <w:tab w:val="left" w:pos="567"/>
        </w:tabs>
        <w:ind w:left="0" w:firstLine="0"/>
        <w:jc w:val="both"/>
        <w:rPr>
          <w:rFonts w:ascii="Cambria" w:hAnsi="Cambria" w:cstheme="minorHAnsi"/>
          <w:sz w:val="24"/>
          <w:szCs w:val="24"/>
        </w:rPr>
      </w:pPr>
      <w:r>
        <w:rPr>
          <w:rFonts w:ascii="Cambria" w:hAnsi="Cambria" w:cstheme="minorHAnsi"/>
          <w:sz w:val="24"/>
          <w:szCs w:val="24"/>
        </w:rPr>
        <w:t>Para dirimir, na esfera judicial, as questões oriundas do presente edital será competente o Foro da Comarca de Miraíma - CE.</w:t>
      </w:r>
    </w:p>
    <w:p>
      <w:pPr>
        <w:autoSpaceDE w:val="0"/>
        <w:autoSpaceDN w:val="0"/>
        <w:adjustRightInd w:val="0"/>
        <w:jc w:val="center"/>
        <w:rPr>
          <w:rFonts w:ascii="Cambria" w:hAnsi="Cambria" w:cstheme="minorHAnsi"/>
          <w:sz w:val="24"/>
          <w:szCs w:val="24"/>
        </w:rPr>
      </w:pPr>
    </w:p>
    <w:p>
      <w:pPr>
        <w:autoSpaceDE w:val="0"/>
        <w:autoSpaceDN w:val="0"/>
        <w:adjustRightInd w:val="0"/>
        <w:jc w:val="center"/>
        <w:rPr>
          <w:rFonts w:ascii="Cambria" w:hAnsi="Cambria" w:cstheme="minorHAnsi"/>
          <w:sz w:val="24"/>
          <w:szCs w:val="24"/>
        </w:rPr>
      </w:pPr>
      <w:r>
        <w:rPr>
          <w:rFonts w:ascii="Cambria" w:hAnsi="Cambria" w:cstheme="minorHAnsi"/>
          <w:sz w:val="24"/>
          <w:szCs w:val="24"/>
        </w:rPr>
        <w:t>Miraíma-Ceará,</w:t>
      </w:r>
      <w:r>
        <w:rPr>
          <w:rFonts w:ascii="Cambria" w:eastAsia="Times New Roman" w:hAnsi="Cambria" w:cstheme="minorHAnsi"/>
          <w:color w:val="000000"/>
          <w:sz w:val="24"/>
          <w:szCs w:val="24"/>
          <w:lang w:eastAsia="ar-SA"/>
        </w:rPr>
        <w:t xml:space="preserve"> 16</w:t>
      </w:r>
      <w:r>
        <w:rPr>
          <w:rFonts w:ascii="Cambria" w:hAnsi="Cambria" w:cstheme="minorHAnsi"/>
          <w:bCs/>
          <w:sz w:val="24"/>
          <w:szCs w:val="24"/>
        </w:rPr>
        <w:t xml:space="preserve"> de Junho de 2026</w:t>
      </w:r>
      <w:r>
        <w:rPr>
          <w:rFonts w:ascii="Cambria" w:hAnsi="Cambria" w:cstheme="minorHAnsi"/>
          <w:sz w:val="24"/>
          <w:szCs w:val="24"/>
        </w:rPr>
        <w:t>.</w:t>
      </w:r>
    </w:p>
    <w:p>
      <w:pPr>
        <w:autoSpaceDE w:val="0"/>
        <w:autoSpaceDN w:val="0"/>
        <w:adjustRightInd w:val="0"/>
        <w:jc w:val="center"/>
        <w:rPr>
          <w:rFonts w:ascii="Cambria" w:hAnsi="Cambria" w:cstheme="minorHAnsi"/>
          <w:sz w:val="24"/>
          <w:szCs w:val="24"/>
        </w:rPr>
      </w:pPr>
    </w:p>
    <w:p>
      <w:pPr>
        <w:autoSpaceDE w:val="0"/>
        <w:autoSpaceDN w:val="0"/>
        <w:adjustRightInd w:val="0"/>
        <w:rPr>
          <w:rFonts w:ascii="Cambria" w:hAnsi="Cambria" w:cstheme="minorHAnsi"/>
          <w:b/>
          <w:sz w:val="24"/>
          <w:szCs w:val="24"/>
        </w:rPr>
      </w:pPr>
    </w:p>
    <w:p>
      <w:pPr>
        <w:autoSpaceDE w:val="0"/>
        <w:autoSpaceDN w:val="0"/>
        <w:adjustRightInd w:val="0"/>
        <w:rPr>
          <w:rFonts w:ascii="Cambria" w:hAnsi="Cambria" w:cstheme="minorHAnsi"/>
          <w:b/>
          <w:sz w:val="24"/>
          <w:szCs w:val="24"/>
        </w:rPr>
      </w:pPr>
    </w:p>
    <w:p>
      <w:pPr>
        <w:spacing w:line="276" w:lineRule="auto"/>
        <w:jc w:val="center"/>
        <w:rPr>
          <w:rFonts w:ascii="Cambria" w:hAnsi="Cambria" w:cstheme="minorHAnsi"/>
          <w:b/>
          <w:sz w:val="24"/>
          <w:szCs w:val="24"/>
        </w:rPr>
      </w:pPr>
      <w:r>
        <w:rPr>
          <w:rFonts w:ascii="Cambria" w:hAnsi="Cambria" w:cstheme="minorHAnsi"/>
          <w:b/>
          <w:sz w:val="24"/>
          <w:szCs w:val="24"/>
        </w:rPr>
        <w:t>ANTONIO ROBSON ALVES DOS SANTOS</w:t>
      </w:r>
    </w:p>
    <w:p>
      <w:pPr>
        <w:spacing w:after="200" w:line="276" w:lineRule="auto"/>
        <w:jc w:val="center"/>
        <w:rPr>
          <w:rFonts w:ascii="Cambria" w:hAnsi="Cambria" w:cstheme="minorHAnsi"/>
          <w:b/>
          <w:sz w:val="24"/>
          <w:szCs w:val="24"/>
        </w:rPr>
      </w:pPr>
      <w:r>
        <w:rPr>
          <w:rFonts w:ascii="Cambria" w:hAnsi="Cambria" w:cstheme="minorHAnsi"/>
          <w:bCs/>
          <w:sz w:val="24"/>
          <w:szCs w:val="24"/>
        </w:rPr>
        <w:t>Agente de Contratação</w:t>
      </w:r>
      <w:r>
        <w:rPr>
          <w:rFonts w:ascii="Cambria" w:hAnsi="Cambria" w:cstheme="minorHAnsi"/>
          <w:bCs/>
          <w:sz w:val="24"/>
          <w:szCs w:val="24"/>
        </w:rPr>
        <w:br w:type="page"/>
      </w:r>
      <w:r>
        <w:rPr>
          <w:rFonts w:ascii="Cambria" w:hAnsi="Cambria" w:cstheme="minorHAnsi"/>
          <w:b/>
          <w:sz w:val="24"/>
          <w:szCs w:val="24"/>
        </w:rPr>
        <w:lastRenderedPageBreak/>
        <w:t>ANEXO I - TERMO DE REFERÊNCIA E SEUS ANEXOS</w:t>
      </w:r>
    </w:p>
    <w:p>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D9D9D9" w:themeFill="background1" w:themeFillShade="D9"/>
        <w:tabs>
          <w:tab w:val="left" w:pos="284"/>
          <w:tab w:val="left" w:pos="2525"/>
          <w:tab w:val="center" w:pos="4873"/>
        </w:tabs>
        <w:jc w:val="center"/>
        <w:rPr>
          <w:rFonts w:ascii="Cambria" w:hAnsi="Cambria"/>
          <w:b/>
          <w:sz w:val="24"/>
          <w:szCs w:val="24"/>
        </w:rPr>
      </w:pPr>
      <w:bookmarkStart w:id="67" w:name="_Hlk198026780"/>
      <w:r>
        <w:rPr>
          <w:rFonts w:ascii="Cambria" w:hAnsi="Cambria"/>
          <w:b/>
          <w:sz w:val="24"/>
          <w:szCs w:val="24"/>
        </w:rPr>
        <w:t>TERMO DE REFERÊNCIA</w:t>
      </w:r>
    </w:p>
    <w:p>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jc w:val="both"/>
        <w:rPr>
          <w:rFonts w:ascii="Cambria" w:hAnsi="Cambria"/>
          <w:b/>
          <w:sz w:val="24"/>
          <w:szCs w:val="24"/>
        </w:rPr>
      </w:pPr>
      <w:r>
        <w:rPr>
          <w:rFonts w:ascii="Cambria" w:hAnsi="Cambria"/>
          <w:b/>
          <w:sz w:val="24"/>
          <w:szCs w:val="24"/>
        </w:rPr>
        <w:t>1. INTRODUÇÃO</w:t>
      </w:r>
    </w:p>
    <w:p>
      <w:pPr>
        <w:tabs>
          <w:tab w:val="left" w:pos="5705"/>
        </w:tabs>
        <w:jc w:val="both"/>
        <w:rPr>
          <w:rFonts w:ascii="Cambria" w:hAnsi="Cambria"/>
          <w:b/>
          <w:sz w:val="24"/>
          <w:szCs w:val="24"/>
        </w:rPr>
      </w:pPr>
      <w:r>
        <w:rPr>
          <w:rFonts w:ascii="Cambria" w:hAnsi="Cambria"/>
          <w:b/>
          <w:sz w:val="24"/>
          <w:szCs w:val="24"/>
        </w:rPr>
        <w:t xml:space="preserve">1.1. Objetivo </w:t>
      </w:r>
    </w:p>
    <w:p>
      <w:pPr>
        <w:tabs>
          <w:tab w:val="left" w:pos="284"/>
          <w:tab w:val="left" w:pos="2525"/>
          <w:tab w:val="center" w:pos="4873"/>
        </w:tabs>
        <w:jc w:val="both"/>
        <w:rPr>
          <w:rFonts w:ascii="Cambria" w:hAnsi="Cambria"/>
          <w:bCs/>
          <w:sz w:val="24"/>
          <w:szCs w:val="24"/>
        </w:rPr>
      </w:pPr>
      <w:r>
        <w:rPr>
          <w:rFonts w:ascii="Cambria" w:hAnsi="Cambria"/>
          <w:bCs/>
          <w:sz w:val="24"/>
          <w:szCs w:val="24"/>
        </w:rPr>
        <w:t>Este Termo de Referência tem por finalidade fornecer elementos necessários e suficientes, os quais, baseados nos dados constantes dos estudos técnicos preliminares acostados aos autos, servirão para realização de procedimento administrativo, cujas especificações técnicas e demais condições encontram-se detalhados no presente documento, conforme disposto nos arts. 6º, incs. X, XIII e XXIII, 18, 23, 40, 41 e 82, da Lei nº 14.133/2021.</w:t>
      </w:r>
    </w:p>
    <w:p>
      <w:pPr>
        <w:tabs>
          <w:tab w:val="left" w:pos="284"/>
          <w:tab w:val="left" w:pos="2525"/>
          <w:tab w:val="center" w:pos="4873"/>
        </w:tabs>
        <w:jc w:val="both"/>
        <w:rPr>
          <w:rFonts w:ascii="Cambria" w:hAnsi="Cambria"/>
          <w:bCs/>
          <w:sz w:val="24"/>
          <w:szCs w:val="24"/>
        </w:rPr>
      </w:pPr>
      <w:r>
        <w:rPr>
          <w:rFonts w:ascii="Cambria" w:hAnsi="Cambria"/>
          <w:b/>
          <w:bCs/>
          <w:sz w:val="24"/>
          <w:szCs w:val="24"/>
        </w:rPr>
        <w:t>1.2.</w:t>
      </w:r>
      <w:r>
        <w:rPr>
          <w:rFonts w:ascii="Cambria" w:hAnsi="Cambria"/>
          <w:bCs/>
          <w:sz w:val="24"/>
          <w:szCs w:val="24"/>
        </w:rPr>
        <w:t xml:space="preserve"> Integram o presente Termo de Referência como se nele estivessem escritos, os seguintes documentos: </w:t>
      </w:r>
    </w:p>
    <w:p>
      <w:pPr>
        <w:pStyle w:val="PargrafodaLista"/>
        <w:numPr>
          <w:ilvl w:val="0"/>
          <w:numId w:val="31"/>
        </w:numPr>
        <w:tabs>
          <w:tab w:val="left" w:pos="284"/>
          <w:tab w:val="left" w:pos="2525"/>
          <w:tab w:val="center" w:pos="4873"/>
        </w:tabs>
        <w:suppressAutoHyphens w:val="0"/>
        <w:spacing w:after="200" w:line="276" w:lineRule="auto"/>
        <w:jc w:val="both"/>
        <w:rPr>
          <w:rFonts w:ascii="Cambria" w:hAnsi="Cambria"/>
          <w:bCs/>
          <w:sz w:val="24"/>
          <w:szCs w:val="24"/>
        </w:rPr>
      </w:pPr>
      <w:r>
        <w:rPr>
          <w:rFonts w:ascii="Cambria" w:hAnsi="Cambria"/>
          <w:bCs/>
          <w:sz w:val="24"/>
          <w:szCs w:val="24"/>
        </w:rPr>
        <w:t xml:space="preserve">Especificações dos Serviços/produtos; </w:t>
      </w:r>
    </w:p>
    <w:p>
      <w:pPr>
        <w:pStyle w:val="PargrafodaLista"/>
        <w:numPr>
          <w:ilvl w:val="0"/>
          <w:numId w:val="31"/>
        </w:numPr>
        <w:tabs>
          <w:tab w:val="left" w:pos="284"/>
          <w:tab w:val="left" w:pos="2525"/>
          <w:tab w:val="center" w:pos="4873"/>
        </w:tabs>
        <w:suppressAutoHyphens w:val="0"/>
        <w:spacing w:after="200" w:line="276" w:lineRule="auto"/>
        <w:jc w:val="both"/>
        <w:rPr>
          <w:rFonts w:ascii="Cambria" w:hAnsi="Cambria"/>
          <w:bCs/>
          <w:sz w:val="24"/>
          <w:szCs w:val="24"/>
        </w:rPr>
      </w:pPr>
      <w:r>
        <w:rPr>
          <w:rFonts w:ascii="Cambria" w:hAnsi="Cambria"/>
          <w:bCs/>
          <w:sz w:val="24"/>
          <w:szCs w:val="24"/>
        </w:rPr>
        <w:t>Relação dos documentos de habilitação para o procedimento; e</w:t>
      </w:r>
    </w:p>
    <w:p>
      <w:pPr>
        <w:pStyle w:val="PargrafodaLista"/>
        <w:numPr>
          <w:ilvl w:val="0"/>
          <w:numId w:val="31"/>
        </w:numPr>
        <w:tabs>
          <w:tab w:val="left" w:pos="284"/>
          <w:tab w:val="left" w:pos="851"/>
          <w:tab w:val="left" w:pos="2525"/>
          <w:tab w:val="center" w:pos="4873"/>
        </w:tabs>
        <w:suppressAutoHyphens w:val="0"/>
        <w:spacing w:after="200" w:line="276" w:lineRule="auto"/>
        <w:ind w:left="709"/>
        <w:jc w:val="both"/>
        <w:rPr>
          <w:rFonts w:ascii="Cambria" w:hAnsi="Cambria"/>
          <w:bCs/>
          <w:sz w:val="24"/>
          <w:szCs w:val="24"/>
        </w:rPr>
      </w:pPr>
      <w:r>
        <w:rPr>
          <w:rFonts w:ascii="Cambria" w:hAnsi="Cambria"/>
          <w:bCs/>
          <w:sz w:val="24"/>
          <w:szCs w:val="24"/>
        </w:rPr>
        <w:t>Estudo Técnico Preliminar – ETP.</w:t>
      </w:r>
    </w:p>
    <w:p>
      <w:pPr>
        <w:pStyle w:val="PargrafodaLista"/>
        <w:tabs>
          <w:tab w:val="left" w:pos="284"/>
          <w:tab w:val="left" w:pos="2525"/>
          <w:tab w:val="center" w:pos="4873"/>
        </w:tabs>
        <w:jc w:val="both"/>
        <w:rPr>
          <w:rFonts w:ascii="Cambria" w:hAnsi="Cambria"/>
          <w:bCs/>
          <w:sz w:val="24"/>
          <w:szCs w:val="24"/>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INFORMAÇÕES PRIMÁRIAS, EXPOSIÇÃO DE NECESSIDADE, DETALHAMENTO E PLANEJAMENTO DO OBJETO.</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Órgãos Interessados:</w:t>
      </w:r>
    </w:p>
    <w:p>
      <w:pPr>
        <w:pStyle w:val="PargrafodaLista"/>
        <w:tabs>
          <w:tab w:val="left" w:pos="426"/>
          <w:tab w:val="left" w:pos="2525"/>
          <w:tab w:val="center" w:pos="4873"/>
        </w:tabs>
        <w:ind w:left="0" w:hanging="11"/>
        <w:jc w:val="both"/>
        <w:rPr>
          <w:rFonts w:ascii="Cambria" w:hAnsi="Cambria"/>
          <w:sz w:val="24"/>
          <w:szCs w:val="24"/>
        </w:rPr>
      </w:pPr>
      <w:r>
        <w:rPr>
          <w:rFonts w:ascii="Cambria" w:hAnsi="Cambria"/>
          <w:sz w:val="24"/>
          <w:szCs w:val="24"/>
        </w:rPr>
        <w:t>Secretaria Municipal de Saúde</w:t>
      </w:r>
    </w:p>
    <w:p>
      <w:pPr>
        <w:pStyle w:val="PargrafodaLista"/>
        <w:tabs>
          <w:tab w:val="left" w:pos="426"/>
          <w:tab w:val="left" w:pos="2525"/>
          <w:tab w:val="center" w:pos="4873"/>
        </w:tabs>
        <w:ind w:left="0" w:hanging="11"/>
        <w:jc w:val="both"/>
        <w:rPr>
          <w:rFonts w:ascii="Cambria" w:hAnsi="Cambria"/>
          <w:bCs/>
          <w:sz w:val="24"/>
          <w:szCs w:val="24"/>
        </w:rPr>
      </w:pPr>
    </w:p>
    <w:p>
      <w:pPr>
        <w:pStyle w:val="PargrafodaLista"/>
        <w:numPr>
          <w:ilvl w:val="1"/>
          <w:numId w:val="32"/>
        </w:numPr>
        <w:tabs>
          <w:tab w:val="left" w:pos="426"/>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Objeto:</w:t>
      </w:r>
    </w:p>
    <w:p>
      <w:pPr>
        <w:pStyle w:val="PargrafodaLista"/>
        <w:tabs>
          <w:tab w:val="left" w:pos="426"/>
          <w:tab w:val="left" w:pos="2525"/>
          <w:tab w:val="center" w:pos="4873"/>
        </w:tabs>
        <w:ind w:left="0"/>
        <w:jc w:val="both"/>
        <w:rPr>
          <w:rFonts w:ascii="Cambria" w:hAnsi="Cambria"/>
          <w:bCs/>
          <w:sz w:val="24"/>
          <w:szCs w:val="24"/>
        </w:rPr>
      </w:pPr>
      <w:bookmarkStart w:id="68" w:name="_Hlk164173497"/>
      <w:r>
        <w:rPr>
          <w:rFonts w:ascii="Cambria" w:hAnsi="Cambria"/>
          <w:bCs/>
          <w:sz w:val="24"/>
          <w:szCs w:val="24"/>
        </w:rPr>
        <w:t>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DE SAÚDE DO MUNICÍPIO DE MIRAÍMA/CE.</w:t>
      </w:r>
    </w:p>
    <w:bookmarkEnd w:id="68"/>
    <w:p>
      <w:pPr>
        <w:pStyle w:val="PargrafodaLista"/>
        <w:jc w:val="both"/>
        <w:rPr>
          <w:rFonts w:ascii="Cambria" w:hAnsi="Cambria"/>
          <w:bCs/>
          <w:sz w:val="24"/>
          <w:szCs w:val="24"/>
          <w:lang w:eastAsia="zh-CN"/>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Justificativa:</w:t>
      </w:r>
    </w:p>
    <w:p>
      <w:pPr>
        <w:ind w:firstLine="851"/>
        <w:jc w:val="both"/>
        <w:rPr>
          <w:rFonts w:ascii="Cambria" w:hAnsi="Cambria"/>
          <w:sz w:val="24"/>
          <w:szCs w:val="24"/>
        </w:rPr>
      </w:pPr>
      <w:r>
        <w:rPr>
          <w:rFonts w:ascii="Cambria" w:hAnsi="Cambria"/>
          <w:sz w:val="24"/>
          <w:szCs w:val="24"/>
        </w:rPr>
        <w:t>A presente contratação justifica-se pela necessidade de garantir o pleno funcionamento dos equipamentos de impressão utilizados pela Secretaria Municipal de Saúde do Município de Miraíma/CE, os quais desempenham papel fundamental no desenvolvimento das atividades administrativas e operacionais das unidades de saúde e setores vinculados à Secretaria.</w:t>
      </w:r>
    </w:p>
    <w:p>
      <w:pPr>
        <w:ind w:firstLine="851"/>
        <w:jc w:val="both"/>
        <w:rPr>
          <w:rFonts w:ascii="Cambria" w:hAnsi="Cambria"/>
          <w:sz w:val="24"/>
          <w:szCs w:val="24"/>
        </w:rPr>
      </w:pPr>
      <w:r>
        <w:rPr>
          <w:rFonts w:ascii="Cambria" w:hAnsi="Cambria"/>
          <w:sz w:val="24"/>
          <w:szCs w:val="24"/>
        </w:rPr>
        <w:t>Os serviços de recarga de suprimentos de impressão, manutenção preventiva e corretiva, bem como o fornecimento e substituição de peças, componentes e materiais necessários, são indispensáveis para assegurar a continuidade das rotinas de trabalho, evitando interrupções na emissão de prontuários, receituários, relatórios, formulários, solicitações de exames, encaminhamentos e demais documentos necessários à prestação dos serviços públicos de saúde.</w:t>
      </w:r>
    </w:p>
    <w:p>
      <w:pPr>
        <w:ind w:firstLine="851"/>
        <w:jc w:val="both"/>
        <w:rPr>
          <w:rFonts w:ascii="Cambria" w:hAnsi="Cambria"/>
          <w:sz w:val="24"/>
          <w:szCs w:val="24"/>
        </w:rPr>
      </w:pPr>
      <w:r>
        <w:rPr>
          <w:rFonts w:ascii="Cambria" w:hAnsi="Cambria"/>
          <w:sz w:val="24"/>
          <w:szCs w:val="24"/>
        </w:rPr>
        <w:t>Considerando que a Secretaria Municipal de Saúde não dispõe de estrutura técnica própria para a execução especializada desses serviços, torna-se necessária a contratação de empresa especializada, capaz de realizar as manutenções e fornecer os insumos e peças necessários ao adequado funcionamento dos equipamentos.</w:t>
      </w:r>
    </w:p>
    <w:p>
      <w:pPr>
        <w:ind w:firstLine="851"/>
        <w:jc w:val="both"/>
        <w:rPr>
          <w:rFonts w:ascii="Cambria" w:hAnsi="Cambria"/>
          <w:sz w:val="24"/>
          <w:szCs w:val="24"/>
        </w:rPr>
      </w:pPr>
      <w:r>
        <w:rPr>
          <w:rFonts w:ascii="Cambria" w:hAnsi="Cambria"/>
          <w:sz w:val="24"/>
          <w:szCs w:val="24"/>
        </w:rPr>
        <w:lastRenderedPageBreak/>
        <w:t>Dessa forma, a contratação pretendida visa promover maior eficiência administrativa, reduzir o risco de paralisação das atividades e garantir a continuidade dos serviços públicos de saúde prestados à população do Município de Miraíma/CE.</w:t>
      </w:r>
    </w:p>
    <w:p>
      <w:pPr>
        <w:ind w:firstLine="851"/>
        <w:jc w:val="both"/>
        <w:rPr>
          <w:rFonts w:ascii="Cambria" w:hAnsi="Cambria"/>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Do Plano de Contratação Anual - PCA:</w:t>
      </w:r>
    </w:p>
    <w:p>
      <w:pPr>
        <w:ind w:firstLine="708"/>
        <w:jc w:val="both"/>
        <w:rPr>
          <w:rFonts w:ascii="Cambria" w:eastAsia="Times New Roman" w:hAnsi="Cambria"/>
          <w:sz w:val="24"/>
          <w:szCs w:val="24"/>
        </w:rPr>
      </w:pPr>
      <w:r>
        <w:rPr>
          <w:rFonts w:ascii="Cambria" w:eastAsia="Times New Roman" w:hAnsi="Cambria"/>
          <w:sz w:val="24"/>
          <w:szCs w:val="24"/>
        </w:rPr>
        <w:t>A presente contratação encontra-se devidamente alinhada ao Plano de Contratações Anual (PCA) do Município de Miraíma/CE, instrumento de planejamento previsto na Lei nº 14.133/2021, que consolida as demandas de bens e serviços a serem contratados pela Administração Pública ao longo do exercício financeiro.</w:t>
      </w:r>
    </w:p>
    <w:p>
      <w:pPr>
        <w:ind w:firstLine="708"/>
        <w:jc w:val="both"/>
        <w:rPr>
          <w:rFonts w:ascii="Cambria" w:eastAsia="Times New Roman" w:hAnsi="Cambria"/>
          <w:sz w:val="24"/>
          <w:szCs w:val="24"/>
        </w:rPr>
      </w:pPr>
      <w:r>
        <w:rPr>
          <w:rFonts w:ascii="Cambria" w:eastAsia="Times New Roman" w:hAnsi="Cambria"/>
          <w:sz w:val="24"/>
          <w:szCs w:val="24"/>
        </w:rPr>
        <w:t>Registra-se que a demanda está formalmente inserida no PCA, sob o ID nº 711, contemplando a contratação de empresa especializada para prestação de serviços de recarga de suprimentos de impressão, manutenção preventiva e corretiva de impressoras, incluindo o fornecimento e substituição de peças, componentes e materiais necessários à execução dos serviços, destinados ao atendimento das necessidades da Secretaria Municipal de Saúde.</w:t>
      </w:r>
    </w:p>
    <w:p>
      <w:pPr>
        <w:ind w:firstLine="708"/>
        <w:jc w:val="both"/>
        <w:rPr>
          <w:rFonts w:ascii="Cambria" w:eastAsia="Times New Roman" w:hAnsi="Cambria"/>
          <w:sz w:val="24"/>
          <w:szCs w:val="24"/>
        </w:rPr>
      </w:pPr>
      <w:r>
        <w:rPr>
          <w:rFonts w:ascii="Cambria" w:eastAsia="Times New Roman" w:hAnsi="Cambria"/>
          <w:sz w:val="24"/>
          <w:szCs w:val="24"/>
        </w:rPr>
        <w:t>A previsão da contratação no referido instrumento evidencia sua compatibilidade com o planejamento estratégico da Administração, assegurando os meios necessários para a manutenção da infraestrutura administrativa e operacional da Secretaria Municipal de Saúde, bem como para a continuidade dos serviços públicos prestados à população.</w:t>
      </w:r>
    </w:p>
    <w:p>
      <w:pPr>
        <w:ind w:firstLine="708"/>
        <w:jc w:val="both"/>
        <w:rPr>
          <w:rFonts w:ascii="Cambria" w:eastAsia="Times New Roman" w:hAnsi="Cambria"/>
          <w:sz w:val="24"/>
          <w:szCs w:val="24"/>
        </w:rPr>
      </w:pPr>
      <w:r>
        <w:rPr>
          <w:rFonts w:ascii="Cambria" w:eastAsia="Times New Roman" w:hAnsi="Cambria"/>
          <w:sz w:val="24"/>
          <w:szCs w:val="24"/>
        </w:rPr>
        <w:t>Dessa forma, a contratação demonstra plena consonância com o princípio do planejamento, assegurando a adequada articulação entre a previsão orçamentária, a programação administrativa e a execução das atividades desenvolvidas pela Secretaria Municipal de Saúde no âmbito do Município de Miraíma/CE.</w:t>
      </w:r>
    </w:p>
    <w:p>
      <w:pPr>
        <w:ind w:firstLine="708"/>
        <w:jc w:val="both"/>
        <w:rPr>
          <w:rFonts w:ascii="Cambria" w:eastAsia="Times New Roman" w:hAnsi="Cambria"/>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bookmarkStart w:id="69" w:name="_Hlk136867496"/>
      <w:r>
        <w:rPr>
          <w:rFonts w:ascii="Cambria" w:hAnsi="Cambria"/>
          <w:b/>
          <w:sz w:val="24"/>
          <w:szCs w:val="24"/>
        </w:rPr>
        <w:t xml:space="preserve">Descrição da solução como um todo </w:t>
      </w:r>
      <w:bookmarkEnd w:id="69"/>
      <w:r>
        <w:rPr>
          <w:rFonts w:ascii="Cambria" w:hAnsi="Cambria"/>
          <w:b/>
          <w:sz w:val="24"/>
          <w:szCs w:val="24"/>
        </w:rPr>
        <w:t>considerado o ciclo de vida do objeto e especificação do produto:</w:t>
      </w:r>
    </w:p>
    <w:p>
      <w:pPr>
        <w:tabs>
          <w:tab w:val="left" w:pos="284"/>
          <w:tab w:val="left" w:pos="2525"/>
          <w:tab w:val="center" w:pos="4873"/>
        </w:tabs>
        <w:ind w:firstLine="851"/>
        <w:jc w:val="both"/>
        <w:rPr>
          <w:rFonts w:ascii="Cambria" w:hAnsi="Cambria"/>
          <w:b/>
          <w:sz w:val="24"/>
          <w:szCs w:val="24"/>
        </w:rPr>
      </w:pPr>
      <w:r>
        <w:rPr>
          <w:rFonts w:ascii="Cambria" w:hAnsi="Cambria"/>
          <w:sz w:val="24"/>
          <w:szCs w:val="24"/>
        </w:rPr>
        <w:t>A descrição da solução como um todo encontra-se pormenorizada em tópico específico constante dos Estudos Técnicos Preliminares - ETP, anexo ao presente procedimento administrativo.</w:t>
      </w: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DA CLASSIFICAÇÃO ORÇAMENTÁRIA, DOS RECURSOS FINANCEIROS E ESTIMATIVA DA DESPESA</w:t>
      </w:r>
    </w:p>
    <w:p>
      <w:pPr>
        <w:pStyle w:val="PargrafodaLista"/>
        <w:numPr>
          <w:ilvl w:val="1"/>
          <w:numId w:val="32"/>
        </w:numPr>
        <w:suppressAutoHyphens w:val="0"/>
        <w:spacing w:after="200" w:line="276" w:lineRule="auto"/>
        <w:ind w:left="284" w:hanging="284"/>
        <w:jc w:val="both"/>
        <w:rPr>
          <w:rFonts w:ascii="Cambria" w:hAnsi="Cambria"/>
          <w:b/>
          <w:bCs/>
          <w:sz w:val="24"/>
          <w:szCs w:val="24"/>
        </w:rPr>
      </w:pPr>
      <w:r>
        <w:rPr>
          <w:rFonts w:ascii="Cambria" w:hAnsi="Cambria"/>
          <w:b/>
          <w:bCs/>
          <w:sz w:val="24"/>
          <w:szCs w:val="24"/>
        </w:rPr>
        <w:t>Classificação Orçamentária dos Serviços</w:t>
      </w:r>
    </w:p>
    <w:p>
      <w:pPr>
        <w:jc w:val="both"/>
        <w:rPr>
          <w:rFonts w:ascii="Cambria" w:hAnsi="Cambria"/>
          <w:b/>
          <w:bCs/>
          <w:sz w:val="24"/>
          <w:szCs w:val="24"/>
        </w:rPr>
      </w:pPr>
      <w:r>
        <w:rPr>
          <w:rFonts w:ascii="Cambria" w:hAnsi="Cambria"/>
          <w:b/>
          <w:bCs/>
          <w:sz w:val="24"/>
          <w:szCs w:val="24"/>
        </w:rPr>
        <w:t xml:space="preserve">SECRETARIA DE SAÚDE </w:t>
      </w:r>
    </w:p>
    <w:p>
      <w:pPr>
        <w:pStyle w:val="PargrafodaLista"/>
        <w:ind w:left="1068"/>
        <w:jc w:val="both"/>
        <w:rPr>
          <w:rFonts w:ascii="Cambria" w:hAnsi="Cambria" w:cstheme="minorHAnsi"/>
          <w:b/>
          <w:bCs/>
          <w:sz w:val="24"/>
          <w:szCs w:val="24"/>
        </w:rPr>
      </w:pPr>
      <w:r>
        <w:rPr>
          <w:rFonts w:ascii="Cambria" w:hAnsi="Cambria" w:cstheme="minorHAnsi"/>
          <w:b/>
          <w:bCs/>
          <w:sz w:val="24"/>
          <w:szCs w:val="24"/>
        </w:rPr>
        <w:t>ORGÃO:</w:t>
      </w:r>
      <w:r>
        <w:rPr>
          <w:rFonts w:ascii="Cambria" w:hAnsi="Cambria" w:cstheme="minorHAnsi"/>
          <w:sz w:val="24"/>
          <w:szCs w:val="24"/>
        </w:rPr>
        <w:t xml:space="preserve"> 04- </w:t>
      </w:r>
      <w:r>
        <w:rPr>
          <w:rFonts w:ascii="Cambria" w:hAnsi="Cambria" w:cstheme="minorHAnsi"/>
          <w:bCs/>
          <w:sz w:val="24"/>
          <w:szCs w:val="24"/>
        </w:rPr>
        <w:t>Secretaria Municipal de Saúde</w:t>
      </w:r>
    </w:p>
    <w:p>
      <w:pPr>
        <w:pStyle w:val="PargrafodaLista"/>
        <w:ind w:left="1068"/>
        <w:rPr>
          <w:rFonts w:ascii="Cambria" w:hAnsi="Cambria" w:cstheme="minorHAnsi"/>
          <w:sz w:val="24"/>
          <w:szCs w:val="24"/>
        </w:rPr>
      </w:pPr>
      <w:r>
        <w:rPr>
          <w:rFonts w:ascii="Cambria" w:hAnsi="Cambria" w:cstheme="minorHAnsi"/>
          <w:b/>
          <w:bCs/>
          <w:sz w:val="24"/>
          <w:szCs w:val="24"/>
        </w:rPr>
        <w:t xml:space="preserve">UNID. ORÇAMENTÁRIA: </w:t>
      </w:r>
      <w:r>
        <w:rPr>
          <w:rFonts w:ascii="Cambria" w:hAnsi="Cambria" w:cstheme="minorHAnsi"/>
          <w:sz w:val="24"/>
          <w:szCs w:val="24"/>
        </w:rPr>
        <w:t xml:space="preserve">01- </w:t>
      </w:r>
      <w:r>
        <w:rPr>
          <w:rFonts w:ascii="Cambria" w:hAnsi="Cambria" w:cstheme="minorHAnsi"/>
          <w:bCs/>
          <w:sz w:val="24"/>
          <w:szCs w:val="24"/>
        </w:rPr>
        <w:t>Secretaria Municipal de Saúde</w:t>
      </w:r>
    </w:p>
    <w:p>
      <w:pPr>
        <w:pStyle w:val="PargrafodaLista"/>
        <w:ind w:left="1068"/>
        <w:jc w:val="both"/>
        <w:rPr>
          <w:rFonts w:ascii="Cambria" w:hAnsi="Cambria" w:cstheme="minorHAnsi"/>
          <w:bCs/>
          <w:sz w:val="24"/>
          <w:szCs w:val="24"/>
        </w:rPr>
      </w:pPr>
      <w:r>
        <w:rPr>
          <w:rFonts w:ascii="Cambria" w:hAnsi="Cambria" w:cstheme="minorHAnsi"/>
          <w:b/>
          <w:bCs/>
          <w:sz w:val="24"/>
          <w:szCs w:val="24"/>
        </w:rPr>
        <w:t xml:space="preserve">DOTAÇÕES ORÇAMENTÁRIAS: </w:t>
      </w:r>
      <w:r>
        <w:rPr>
          <w:rFonts w:ascii="Cambria" w:hAnsi="Cambria"/>
          <w:sz w:val="24"/>
          <w:szCs w:val="24"/>
        </w:rPr>
        <w:t xml:space="preserve">10.122.0014.2.008 – Recursos Próprios – Secretaria de Saúde </w:t>
      </w:r>
    </w:p>
    <w:p>
      <w:pPr>
        <w:pStyle w:val="PargrafodaLista"/>
        <w:ind w:left="1068"/>
        <w:jc w:val="both"/>
        <w:rPr>
          <w:rFonts w:ascii="Cambria" w:hAnsi="Cambria" w:cstheme="minorHAnsi"/>
          <w:b/>
          <w:bCs/>
          <w:sz w:val="24"/>
          <w:szCs w:val="24"/>
        </w:rPr>
      </w:pPr>
      <w:r>
        <w:rPr>
          <w:rFonts w:ascii="Cambria" w:hAnsi="Cambria" w:cstheme="minorHAnsi"/>
          <w:b/>
          <w:bCs/>
          <w:sz w:val="24"/>
          <w:szCs w:val="24"/>
        </w:rPr>
        <w:t xml:space="preserve">ELEMENTO DESPESA: </w:t>
      </w:r>
      <w:r>
        <w:rPr>
          <w:rFonts w:ascii="Cambria" w:hAnsi="Cambria" w:cstheme="minorHAnsi"/>
          <w:bCs/>
          <w:sz w:val="24"/>
          <w:szCs w:val="24"/>
        </w:rPr>
        <w:t>3.3.90.39.90 –</w:t>
      </w:r>
      <w:r>
        <w:rPr>
          <w:rFonts w:ascii="Cambria" w:hAnsi="Cambria" w:cstheme="minorHAnsi"/>
          <w:b/>
          <w:bCs/>
          <w:sz w:val="24"/>
          <w:szCs w:val="24"/>
        </w:rPr>
        <w:t xml:space="preserve"> </w:t>
      </w:r>
      <w:r>
        <w:rPr>
          <w:rFonts w:ascii="Cambria" w:hAnsi="Cambria" w:cstheme="minorHAnsi"/>
          <w:bCs/>
          <w:sz w:val="24"/>
          <w:szCs w:val="24"/>
        </w:rPr>
        <w:t>Outros serviços de terceiros/PJ</w:t>
      </w:r>
    </w:p>
    <w:p>
      <w:pPr>
        <w:pStyle w:val="PargrafodaLista"/>
        <w:ind w:left="1068"/>
        <w:jc w:val="both"/>
        <w:rPr>
          <w:rFonts w:ascii="Cambria" w:hAnsi="Cambria"/>
          <w:sz w:val="24"/>
          <w:szCs w:val="24"/>
        </w:rPr>
      </w:pPr>
      <w:r>
        <w:rPr>
          <w:rFonts w:ascii="Cambria" w:hAnsi="Cambria" w:cstheme="minorHAnsi"/>
          <w:b/>
          <w:bCs/>
          <w:sz w:val="24"/>
          <w:szCs w:val="24"/>
        </w:rPr>
        <w:t xml:space="preserve">FONTE: </w:t>
      </w:r>
      <w:r>
        <w:rPr>
          <w:rFonts w:ascii="Cambria" w:hAnsi="Cambria"/>
          <w:sz w:val="24"/>
          <w:szCs w:val="24"/>
        </w:rPr>
        <w:t>1500100200 – Receita de imposto e tranf. – saúde</w:t>
      </w:r>
    </w:p>
    <w:p>
      <w:pPr>
        <w:pStyle w:val="PargrafodaLista"/>
        <w:ind w:left="1068"/>
        <w:jc w:val="both"/>
        <w:rPr>
          <w:rFonts w:ascii="Cambria" w:hAnsi="Cambria" w:cstheme="minorHAnsi"/>
          <w:bCs/>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Valor global estimado: R$ 340.857,08 (trezentos e quarenta mil, oitocentos e cinquenta e sete reais e oito centavos).</w:t>
      </w:r>
    </w:p>
    <w:p>
      <w:pPr>
        <w:pStyle w:val="PargrafodaLista"/>
        <w:tabs>
          <w:tab w:val="left" w:pos="426"/>
          <w:tab w:val="left" w:pos="2525"/>
          <w:tab w:val="center" w:pos="4873"/>
        </w:tabs>
        <w:ind w:left="0"/>
        <w:jc w:val="both"/>
        <w:rPr>
          <w:rFonts w:ascii="Cambria" w:hAnsi="Cambria"/>
          <w:b/>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Justificativa quanto ao sigilo do orçamento:</w:t>
      </w:r>
    </w:p>
    <w:p>
      <w:pPr>
        <w:tabs>
          <w:tab w:val="left" w:pos="284"/>
        </w:tabs>
        <w:jc w:val="both"/>
        <w:rPr>
          <w:rFonts w:ascii="Cambria" w:hAnsi="Cambria"/>
          <w:color w:val="000000"/>
          <w:sz w:val="24"/>
          <w:szCs w:val="24"/>
        </w:rPr>
      </w:pPr>
      <w:r>
        <w:rPr>
          <w:rFonts w:ascii="Cambria" w:hAnsi="Cambria"/>
          <w:color w:val="000000"/>
          <w:sz w:val="24"/>
          <w:szCs w:val="24"/>
        </w:rPr>
        <w:lastRenderedPageBreak/>
        <w:t>Não haverá caráter sigiloso para a presente licitação.</w:t>
      </w:r>
    </w:p>
    <w:p>
      <w:pPr>
        <w:tabs>
          <w:tab w:val="left" w:pos="284"/>
        </w:tabs>
        <w:jc w:val="both"/>
        <w:rPr>
          <w:rFonts w:ascii="Cambria" w:hAnsi="Cambria"/>
          <w:color w:val="000000"/>
          <w:sz w:val="24"/>
          <w:szCs w:val="24"/>
        </w:rPr>
      </w:pP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Metodologia do orçamento:</w:t>
      </w:r>
    </w:p>
    <w:p>
      <w:pPr>
        <w:tabs>
          <w:tab w:val="left" w:pos="284"/>
        </w:tabs>
        <w:ind w:firstLine="851"/>
        <w:jc w:val="both"/>
        <w:rPr>
          <w:rFonts w:ascii="Cambria" w:hAnsi="Cambria"/>
          <w:sz w:val="24"/>
          <w:szCs w:val="24"/>
        </w:rPr>
      </w:pPr>
      <w:r>
        <w:rPr>
          <w:rFonts w:ascii="Cambria" w:hAnsi="Cambria"/>
          <w:sz w:val="24"/>
          <w:szCs w:val="24"/>
        </w:rPr>
        <w:t xml:space="preserve">O valor estimado da contratação foi fixado em </w:t>
      </w:r>
      <w:r>
        <w:rPr>
          <w:rFonts w:ascii="Cambria" w:hAnsi="Cambria"/>
          <w:b/>
          <w:bCs/>
          <w:sz w:val="24"/>
          <w:szCs w:val="24"/>
        </w:rPr>
        <w:t>R$ 340.857,08 (trezentos e quarenta mil, oitocentos e cinquenta e sete reais e oito centavos)</w:t>
      </w:r>
      <w:r>
        <w:rPr>
          <w:rFonts w:ascii="Cambria" w:hAnsi="Cambria"/>
          <w:sz w:val="24"/>
          <w:szCs w:val="24"/>
        </w:rPr>
        <w:t>, conforme mapa de preços elaborado pelo setor de pesquisa de preços.</w:t>
      </w:r>
    </w:p>
    <w:p>
      <w:pPr>
        <w:tabs>
          <w:tab w:val="left" w:pos="284"/>
        </w:tabs>
        <w:ind w:firstLine="851"/>
        <w:jc w:val="both"/>
        <w:rPr>
          <w:rFonts w:ascii="Cambria" w:hAnsi="Cambria"/>
          <w:sz w:val="24"/>
          <w:szCs w:val="24"/>
        </w:rPr>
      </w:pPr>
      <w:r>
        <w:rPr>
          <w:rFonts w:ascii="Cambria" w:hAnsi="Cambria"/>
          <w:sz w:val="24"/>
          <w:szCs w:val="24"/>
        </w:rPr>
        <w:t>A composição dos custos teve como base levantamento de mercado, considerando propostas obtidas junto a fornecedores do ramo, compatíveis com o objeto pretendido, bem como o quantitativo estimado da contratação.</w:t>
      </w:r>
    </w:p>
    <w:p>
      <w:pPr>
        <w:tabs>
          <w:tab w:val="left" w:pos="284"/>
        </w:tabs>
        <w:ind w:firstLine="851"/>
        <w:jc w:val="both"/>
        <w:rPr>
          <w:rFonts w:ascii="Cambria" w:hAnsi="Cambria"/>
          <w:sz w:val="24"/>
          <w:szCs w:val="24"/>
        </w:rPr>
      </w:pPr>
      <w:r>
        <w:rPr>
          <w:rFonts w:ascii="Cambria" w:hAnsi="Cambria"/>
          <w:sz w:val="24"/>
          <w:szCs w:val="24"/>
        </w:rPr>
        <w:t>A metodologia consistiu na consolidação das cotações válidas, com a devida análise de conformidade e adequação dos valores praticados, adotando-se como referência o preço médio obtido, garantindo fundamentação técnica, transparência e conformidade com a legislação vigente.</w:t>
      </w:r>
    </w:p>
    <w:p>
      <w:pPr>
        <w:tabs>
          <w:tab w:val="left" w:pos="284"/>
        </w:tabs>
        <w:ind w:firstLine="851"/>
        <w:jc w:val="both"/>
        <w:rPr>
          <w:rFonts w:ascii="Cambria" w:hAnsi="Cambria"/>
          <w:sz w:val="24"/>
          <w:szCs w:val="24"/>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REQUISITOS GERAIS DA CONTRATAÇÃO</w:t>
      </w:r>
    </w:p>
    <w:p>
      <w:pPr>
        <w:pStyle w:val="PargrafodaLista"/>
        <w:numPr>
          <w:ilvl w:val="1"/>
          <w:numId w:val="32"/>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Sustentabilidade:</w:t>
      </w:r>
    </w:p>
    <w:p>
      <w:pPr>
        <w:pStyle w:val="PargrafodaLista"/>
        <w:numPr>
          <w:ilvl w:val="2"/>
          <w:numId w:val="32"/>
        </w:numPr>
        <w:tabs>
          <w:tab w:val="left" w:pos="567"/>
          <w:tab w:val="left" w:pos="2525"/>
          <w:tab w:val="center" w:pos="4873"/>
        </w:tabs>
        <w:suppressAutoHyphens w:val="0"/>
        <w:ind w:left="0" w:firstLine="0"/>
        <w:jc w:val="both"/>
        <w:rPr>
          <w:rFonts w:ascii="Cambria" w:hAnsi="Cambria"/>
          <w:bCs/>
          <w:sz w:val="24"/>
          <w:szCs w:val="24"/>
        </w:rPr>
      </w:pPr>
      <w:bookmarkStart w:id="70" w:name="_Hlk155790712"/>
      <w:r>
        <w:rPr>
          <w:rFonts w:ascii="Cambria" w:hAnsi="Cambria"/>
          <w:bCs/>
          <w:sz w:val="24"/>
          <w:szCs w:val="24"/>
        </w:rPr>
        <w:t>Os critérios de sustentabilidade serão aqueles que, eventualmente, estarão descritos na descrição das especificações dos itens do objeto, que se baseiam no Guia Nacional de Contratações Sustentáveis. No mais, o município ainda não dispõe de norma própria correspondente a tal temática, limitando-se tais exigências a construção das especificações, quando for o caso e ou as rotinas de fiscalização e padrões de desempenho, as quais analisarão tais requisitos, quando exigidos.</w:t>
      </w:r>
    </w:p>
    <w:bookmarkEnd w:id="70"/>
    <w:p>
      <w:pPr>
        <w:pStyle w:val="PargrafodaLista"/>
        <w:numPr>
          <w:ilvl w:val="1"/>
          <w:numId w:val="32"/>
        </w:numPr>
        <w:tabs>
          <w:tab w:val="left" w:pos="426"/>
          <w:tab w:val="left" w:pos="2525"/>
          <w:tab w:val="center" w:pos="4873"/>
        </w:tabs>
        <w:suppressAutoHyphens w:val="0"/>
        <w:ind w:left="0" w:firstLine="0"/>
        <w:jc w:val="both"/>
        <w:rPr>
          <w:rFonts w:ascii="Cambria" w:hAnsi="Cambria"/>
          <w:b/>
          <w:sz w:val="24"/>
          <w:szCs w:val="24"/>
        </w:rPr>
      </w:pPr>
      <w:r>
        <w:rPr>
          <w:rFonts w:ascii="Cambria" w:hAnsi="Cambria"/>
          <w:b/>
          <w:sz w:val="24"/>
          <w:szCs w:val="24"/>
        </w:rPr>
        <w:t>Indicação de marcas ou modelo:</w:t>
      </w:r>
    </w:p>
    <w:p>
      <w:pPr>
        <w:pStyle w:val="PargrafodaLista"/>
        <w:numPr>
          <w:ilvl w:val="2"/>
          <w:numId w:val="32"/>
        </w:numPr>
        <w:tabs>
          <w:tab w:val="left" w:pos="567"/>
          <w:tab w:val="left" w:pos="2525"/>
          <w:tab w:val="center" w:pos="4873"/>
        </w:tabs>
        <w:suppressAutoHyphens w:val="0"/>
        <w:ind w:left="0" w:firstLine="0"/>
        <w:jc w:val="both"/>
        <w:rPr>
          <w:rFonts w:ascii="Cambria" w:hAnsi="Cambria"/>
          <w:bCs/>
          <w:sz w:val="24"/>
          <w:szCs w:val="24"/>
        </w:rPr>
      </w:pPr>
      <w:r>
        <w:rPr>
          <w:rFonts w:ascii="Cambria" w:hAnsi="Cambria"/>
          <w:bCs/>
          <w:sz w:val="24"/>
          <w:szCs w:val="24"/>
        </w:rPr>
        <w:t>Não se aplica indicação de marcas para o objeto licitado.</w:t>
      </w:r>
    </w:p>
    <w:p>
      <w:pPr>
        <w:pStyle w:val="PargrafodaLista"/>
        <w:tabs>
          <w:tab w:val="left" w:pos="426"/>
          <w:tab w:val="left" w:pos="2525"/>
          <w:tab w:val="center" w:pos="4873"/>
        </w:tabs>
        <w:ind w:left="0"/>
        <w:jc w:val="both"/>
        <w:rPr>
          <w:rFonts w:ascii="Cambria" w:hAnsi="Cambria"/>
          <w:bCs/>
          <w:sz w:val="24"/>
          <w:szCs w:val="24"/>
          <w:highlight w:val="yellow"/>
        </w:rPr>
      </w:pPr>
    </w:p>
    <w:p>
      <w:pPr>
        <w:pStyle w:val="PargrafodaLista"/>
        <w:numPr>
          <w:ilvl w:val="1"/>
          <w:numId w:val="32"/>
        </w:numPr>
        <w:tabs>
          <w:tab w:val="left" w:pos="426"/>
          <w:tab w:val="left" w:pos="2525"/>
          <w:tab w:val="center" w:pos="4873"/>
        </w:tabs>
        <w:suppressAutoHyphens w:val="0"/>
        <w:ind w:left="0" w:firstLine="0"/>
        <w:jc w:val="both"/>
        <w:rPr>
          <w:rFonts w:ascii="Cambria" w:hAnsi="Cambria"/>
          <w:b/>
          <w:sz w:val="24"/>
          <w:szCs w:val="24"/>
        </w:rPr>
      </w:pPr>
      <w:r>
        <w:rPr>
          <w:rFonts w:ascii="Cambria" w:hAnsi="Cambria"/>
          <w:b/>
          <w:sz w:val="24"/>
          <w:szCs w:val="24"/>
        </w:rPr>
        <w:t xml:space="preserve">Da vedação de utilização de marca/produto </w:t>
      </w:r>
    </w:p>
    <w:p>
      <w:pPr>
        <w:pStyle w:val="PargrafodaLista"/>
        <w:numPr>
          <w:ilvl w:val="2"/>
          <w:numId w:val="32"/>
        </w:numPr>
        <w:tabs>
          <w:tab w:val="left" w:pos="567"/>
          <w:tab w:val="left" w:pos="2525"/>
          <w:tab w:val="center" w:pos="4873"/>
        </w:tabs>
        <w:suppressAutoHyphens w:val="0"/>
        <w:ind w:left="0" w:firstLine="0"/>
        <w:jc w:val="both"/>
        <w:rPr>
          <w:rFonts w:ascii="Cambria" w:hAnsi="Cambria"/>
          <w:bCs/>
          <w:sz w:val="24"/>
          <w:szCs w:val="24"/>
        </w:rPr>
      </w:pPr>
      <w:r>
        <w:rPr>
          <w:rFonts w:ascii="Cambria" w:hAnsi="Cambria"/>
          <w:bCs/>
          <w:sz w:val="24"/>
          <w:szCs w:val="24"/>
        </w:rPr>
        <w:t>Não se aplica.</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1"/>
          <w:numId w:val="32"/>
        </w:numPr>
        <w:tabs>
          <w:tab w:val="left" w:pos="426"/>
          <w:tab w:val="left" w:pos="2525"/>
          <w:tab w:val="center" w:pos="4873"/>
        </w:tabs>
        <w:suppressAutoHyphens w:val="0"/>
        <w:ind w:left="0" w:firstLine="0"/>
        <w:jc w:val="both"/>
        <w:rPr>
          <w:rFonts w:ascii="Cambria" w:hAnsi="Cambria"/>
          <w:b/>
          <w:sz w:val="24"/>
          <w:szCs w:val="24"/>
        </w:rPr>
      </w:pPr>
      <w:r>
        <w:rPr>
          <w:rFonts w:ascii="Cambria" w:hAnsi="Cambria"/>
          <w:b/>
          <w:sz w:val="24"/>
          <w:szCs w:val="24"/>
        </w:rPr>
        <w:t>Garantia da contratação:</w:t>
      </w:r>
    </w:p>
    <w:p>
      <w:pPr>
        <w:pStyle w:val="PargrafodaLista"/>
        <w:numPr>
          <w:ilvl w:val="2"/>
          <w:numId w:val="32"/>
        </w:numPr>
        <w:tabs>
          <w:tab w:val="left" w:pos="567"/>
          <w:tab w:val="left" w:pos="2525"/>
          <w:tab w:val="center" w:pos="4873"/>
        </w:tabs>
        <w:suppressAutoHyphens w:val="0"/>
        <w:ind w:left="0" w:firstLine="0"/>
        <w:jc w:val="both"/>
        <w:rPr>
          <w:rFonts w:ascii="Cambria" w:hAnsi="Cambria"/>
          <w:bCs/>
          <w:sz w:val="24"/>
          <w:szCs w:val="24"/>
        </w:rPr>
      </w:pPr>
      <w:r>
        <w:rPr>
          <w:rFonts w:ascii="Cambria" w:hAnsi="Cambria"/>
          <w:bCs/>
          <w:sz w:val="24"/>
          <w:szCs w:val="24"/>
        </w:rPr>
        <w:t>Não haverá exigência da garantia da contratação consoante os dispostos nos artigos 96 e seguintes da Lei nº 14.133, de 2021, bem como, pelas razões constantes do Estudo Técnico Preliminar - ETP.</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0"/>
          <w:numId w:val="32"/>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DAS CONDIÇÕES E PRAZOS DE EXECUÇÃO</w:t>
      </w:r>
    </w:p>
    <w:p>
      <w:pPr>
        <w:pStyle w:val="PargrafodaLista"/>
        <w:numPr>
          <w:ilvl w:val="1"/>
          <w:numId w:val="44"/>
        </w:numPr>
        <w:tabs>
          <w:tab w:val="left" w:pos="426"/>
          <w:tab w:val="left" w:pos="2525"/>
          <w:tab w:val="center" w:pos="4873"/>
        </w:tabs>
        <w:suppressAutoHyphens w:val="0"/>
        <w:spacing w:line="276" w:lineRule="auto"/>
        <w:ind w:left="709"/>
        <w:jc w:val="both"/>
        <w:rPr>
          <w:rFonts w:ascii="Cambria" w:hAnsi="Cambria"/>
          <w:b/>
          <w:sz w:val="24"/>
          <w:szCs w:val="24"/>
        </w:rPr>
      </w:pPr>
      <w:r>
        <w:rPr>
          <w:rFonts w:ascii="Cambria" w:hAnsi="Cambria"/>
          <w:b/>
          <w:sz w:val="24"/>
          <w:szCs w:val="24"/>
        </w:rPr>
        <w:t>Local da prestação dos serviços.</w:t>
      </w:r>
    </w:p>
    <w:p>
      <w:pPr>
        <w:jc w:val="both"/>
        <w:rPr>
          <w:rFonts w:ascii="Cambria" w:hAnsi="Cambria"/>
          <w:sz w:val="24"/>
          <w:szCs w:val="24"/>
        </w:rPr>
      </w:pPr>
      <w:bookmarkStart w:id="71" w:name="_Hlk155791647"/>
      <w:r>
        <w:rPr>
          <w:rFonts w:ascii="Cambria" w:hAnsi="Cambria"/>
          <w:b/>
          <w:sz w:val="24"/>
          <w:szCs w:val="24"/>
        </w:rPr>
        <w:t>5.1.1.</w:t>
      </w:r>
      <w:r>
        <w:rPr>
          <w:rFonts w:ascii="Cambria" w:hAnsi="Cambria"/>
          <w:sz w:val="24"/>
          <w:szCs w:val="24"/>
        </w:rPr>
        <w:t xml:space="preserve"> O contrato produzirá seus jurídicos e legais efeitos a partir da data de sua assinatura e vigorará 12 (doze) meses, prorrogável nas formas da Lei n° 14.133, de 2021.</w:t>
      </w:r>
    </w:p>
    <w:p>
      <w:pPr>
        <w:jc w:val="both"/>
        <w:rPr>
          <w:rFonts w:ascii="Cambria" w:hAnsi="Cambria"/>
          <w:sz w:val="24"/>
          <w:szCs w:val="24"/>
        </w:rPr>
      </w:pPr>
      <w:r>
        <w:rPr>
          <w:rFonts w:ascii="Cambria" w:hAnsi="Cambria"/>
          <w:sz w:val="24"/>
          <w:szCs w:val="24"/>
        </w:rPr>
        <w:t>5.1.1.2. A execução dos serviços será de 12 (doze) meses.</w:t>
      </w:r>
    </w:p>
    <w:p>
      <w:pPr>
        <w:jc w:val="both"/>
        <w:rPr>
          <w:rFonts w:ascii="Cambria" w:hAnsi="Cambria"/>
          <w:sz w:val="24"/>
          <w:szCs w:val="24"/>
        </w:rPr>
      </w:pPr>
      <w:r>
        <w:rPr>
          <w:rFonts w:ascii="Cambria" w:hAnsi="Cambria"/>
          <w:b/>
          <w:sz w:val="24"/>
          <w:szCs w:val="24"/>
        </w:rPr>
        <w:t>51.2.</w:t>
      </w:r>
      <w:r>
        <w:rPr>
          <w:rFonts w:ascii="Cambria" w:hAnsi="Cambria"/>
          <w:sz w:val="24"/>
          <w:szCs w:val="24"/>
        </w:rPr>
        <w:t xml:space="preserve"> Os serviços deverão ser realizados na sede da Secretaria ou nos locais determinados pela CONTRATANTE, através da ordem de serviços.</w:t>
      </w:r>
    </w:p>
    <w:p>
      <w:pPr>
        <w:jc w:val="both"/>
        <w:rPr>
          <w:rFonts w:ascii="Cambria" w:hAnsi="Cambria"/>
          <w:sz w:val="24"/>
          <w:szCs w:val="24"/>
        </w:rPr>
      </w:pPr>
    </w:p>
    <w:p>
      <w:pPr>
        <w:jc w:val="both"/>
        <w:rPr>
          <w:rFonts w:ascii="Cambria" w:hAnsi="Cambria"/>
          <w:b/>
          <w:sz w:val="24"/>
          <w:szCs w:val="24"/>
        </w:rPr>
      </w:pPr>
      <w:r>
        <w:rPr>
          <w:rFonts w:ascii="Cambria" w:hAnsi="Cambria"/>
          <w:b/>
          <w:sz w:val="24"/>
          <w:szCs w:val="24"/>
        </w:rPr>
        <w:t>5.2. Forma de execução, acompanhamento e fiscalização da execução</w:t>
      </w:r>
    </w:p>
    <w:p>
      <w:pPr>
        <w:jc w:val="both"/>
        <w:rPr>
          <w:rFonts w:ascii="Cambria" w:hAnsi="Cambria"/>
          <w:sz w:val="24"/>
          <w:szCs w:val="24"/>
        </w:rPr>
      </w:pPr>
      <w:r>
        <w:rPr>
          <w:rFonts w:ascii="Cambria" w:hAnsi="Cambria"/>
          <w:b/>
          <w:sz w:val="24"/>
          <w:szCs w:val="24"/>
        </w:rPr>
        <w:lastRenderedPageBreak/>
        <w:t>5.2.1.</w:t>
      </w:r>
      <w:r>
        <w:rPr>
          <w:rFonts w:ascii="Cambria" w:hAnsi="Cambria"/>
          <w:sz w:val="24"/>
          <w:szCs w:val="24"/>
        </w:rPr>
        <w:t xml:space="preserve"> Execução dos serviços terá o prazo de </w:t>
      </w:r>
      <w:r>
        <w:rPr>
          <w:rFonts w:ascii="Cambria" w:hAnsi="Cambria"/>
          <w:b/>
          <w:sz w:val="24"/>
          <w:szCs w:val="24"/>
        </w:rPr>
        <w:t>12 (doze) meses</w:t>
      </w:r>
      <w:r>
        <w:rPr>
          <w:rFonts w:ascii="Cambria" w:hAnsi="Cambria"/>
          <w:sz w:val="24"/>
          <w:szCs w:val="24"/>
        </w:rPr>
        <w:t xml:space="preserve">, mediante a expedição de </w:t>
      </w:r>
      <w:r>
        <w:rPr>
          <w:rFonts w:ascii="Cambria" w:hAnsi="Cambria"/>
          <w:b/>
          <w:sz w:val="24"/>
          <w:szCs w:val="24"/>
        </w:rPr>
        <w:t>ORDENS DE SERVIÇO</w:t>
      </w:r>
      <w:r>
        <w:rPr>
          <w:rFonts w:ascii="Cambria" w:hAnsi="Cambria"/>
          <w:sz w:val="24"/>
          <w:szCs w:val="24"/>
        </w:rPr>
        <w:t>, pelo órgão demandante, constando a relação e a quantidade de serviços a serem executados.</w:t>
      </w:r>
    </w:p>
    <w:p>
      <w:pPr>
        <w:jc w:val="both"/>
        <w:rPr>
          <w:rFonts w:ascii="Cambria" w:hAnsi="Cambria"/>
          <w:sz w:val="24"/>
          <w:szCs w:val="24"/>
        </w:rPr>
      </w:pPr>
      <w:r>
        <w:rPr>
          <w:rFonts w:ascii="Cambria" w:hAnsi="Cambria"/>
          <w:b/>
          <w:sz w:val="24"/>
          <w:szCs w:val="24"/>
        </w:rPr>
        <w:t>5.2.2</w:t>
      </w:r>
      <w:r>
        <w:rPr>
          <w:rFonts w:ascii="Cambria" w:hAnsi="Cambria"/>
          <w:sz w:val="24"/>
          <w:szCs w:val="24"/>
        </w:rPr>
        <w:t>. A execução dos serviços será acompanhada e fiscalizada por servidor do órgão demandante, o qual deverá atestar os documentos da despesa, quando comprovada a fiel e correta entrega para fins de pagamento.</w:t>
      </w:r>
    </w:p>
    <w:p>
      <w:pPr>
        <w:jc w:val="both"/>
        <w:rPr>
          <w:rFonts w:ascii="Cambria" w:hAnsi="Cambria"/>
          <w:sz w:val="24"/>
          <w:szCs w:val="24"/>
        </w:rPr>
      </w:pPr>
      <w:r>
        <w:rPr>
          <w:rFonts w:ascii="Cambria" w:hAnsi="Cambria"/>
          <w:b/>
          <w:sz w:val="24"/>
          <w:szCs w:val="24"/>
        </w:rPr>
        <w:t>5.2.3.</w:t>
      </w:r>
      <w:r>
        <w:rPr>
          <w:rFonts w:ascii="Cambria" w:hAnsi="Cambria"/>
          <w:sz w:val="24"/>
          <w:szCs w:val="24"/>
        </w:rPr>
        <w:t xml:space="preserve"> A presença da fiscalização do órgão demandante não elide nem diminui a responsabilidade da empresa contratada.</w:t>
      </w:r>
    </w:p>
    <w:p>
      <w:pPr>
        <w:jc w:val="both"/>
        <w:rPr>
          <w:rFonts w:ascii="Cambria" w:hAnsi="Cambria"/>
          <w:sz w:val="24"/>
          <w:szCs w:val="24"/>
        </w:rPr>
      </w:pPr>
      <w:r>
        <w:rPr>
          <w:rFonts w:ascii="Cambria" w:hAnsi="Cambria"/>
          <w:b/>
          <w:sz w:val="24"/>
          <w:szCs w:val="24"/>
        </w:rPr>
        <w:t>5.2.4.</w:t>
      </w:r>
      <w:r>
        <w:rPr>
          <w:rFonts w:ascii="Cambria" w:hAnsi="Cambria"/>
          <w:sz w:val="24"/>
          <w:szCs w:val="24"/>
        </w:rPr>
        <w:t xml:space="preserve"> Caberá ao servidor designado rejeitar totalmente ou em parte, qualquer serviço executado, peça, componente ou material empregado que não esteja de acordo com as exigências estabelecidas no Termo de Referência.</w:t>
      </w:r>
    </w:p>
    <w:p>
      <w:pPr>
        <w:jc w:val="both"/>
        <w:rPr>
          <w:rFonts w:ascii="Cambria" w:hAnsi="Cambria"/>
          <w:sz w:val="24"/>
          <w:szCs w:val="24"/>
        </w:rPr>
      </w:pPr>
    </w:p>
    <w:p>
      <w:pPr>
        <w:jc w:val="both"/>
        <w:rPr>
          <w:rFonts w:ascii="Cambria" w:hAnsi="Cambria"/>
          <w:b/>
          <w:sz w:val="24"/>
          <w:szCs w:val="24"/>
        </w:rPr>
      </w:pPr>
      <w:r>
        <w:rPr>
          <w:rFonts w:ascii="Cambria" w:hAnsi="Cambria"/>
          <w:b/>
          <w:sz w:val="24"/>
          <w:szCs w:val="24"/>
        </w:rPr>
        <w:t>5.3. Prazo para início da execução</w:t>
      </w:r>
    </w:p>
    <w:p>
      <w:pPr>
        <w:jc w:val="both"/>
        <w:rPr>
          <w:rFonts w:ascii="Cambria" w:hAnsi="Cambria"/>
          <w:sz w:val="24"/>
          <w:szCs w:val="24"/>
        </w:rPr>
      </w:pPr>
      <w:r>
        <w:rPr>
          <w:rFonts w:ascii="Cambria" w:hAnsi="Cambria"/>
          <w:b/>
          <w:sz w:val="24"/>
          <w:szCs w:val="24"/>
        </w:rPr>
        <w:t>5.3.1.</w:t>
      </w:r>
      <w:r>
        <w:rPr>
          <w:rFonts w:ascii="Cambria" w:hAnsi="Cambria"/>
          <w:sz w:val="24"/>
          <w:szCs w:val="24"/>
        </w:rPr>
        <w:t xml:space="preserve"> Os serviços deverão ser iniciados em até </w:t>
      </w:r>
      <w:r>
        <w:rPr>
          <w:rFonts w:ascii="Cambria" w:hAnsi="Cambria"/>
          <w:b/>
          <w:sz w:val="24"/>
          <w:szCs w:val="24"/>
        </w:rPr>
        <w:t>05 (CINCO) DIAS ÚTEIS</w:t>
      </w:r>
      <w:r>
        <w:rPr>
          <w:rFonts w:ascii="Cambria" w:hAnsi="Cambria"/>
          <w:sz w:val="24"/>
          <w:szCs w:val="24"/>
        </w:rPr>
        <w:t xml:space="preserve">, a contar da emissão da Ordem de Serviço, que </w:t>
      </w:r>
      <w:r>
        <w:rPr>
          <w:rFonts w:ascii="Cambria" w:hAnsi="Cambria"/>
          <w:b/>
          <w:sz w:val="24"/>
          <w:szCs w:val="24"/>
        </w:rPr>
        <w:t>será enviada à contratada através de e-mail</w:t>
      </w:r>
      <w:r>
        <w:rPr>
          <w:rFonts w:ascii="Cambria" w:hAnsi="Cambria"/>
          <w:sz w:val="24"/>
          <w:szCs w:val="24"/>
        </w:rPr>
        <w:t xml:space="preserve"> ou outro meio que comprove o seu recebimento.</w:t>
      </w:r>
    </w:p>
    <w:p>
      <w:pPr>
        <w:jc w:val="both"/>
        <w:rPr>
          <w:rFonts w:ascii="Cambria" w:hAnsi="Cambria"/>
          <w:sz w:val="24"/>
          <w:szCs w:val="24"/>
        </w:rPr>
      </w:pPr>
      <w:r>
        <w:rPr>
          <w:rFonts w:ascii="Cambria" w:hAnsi="Cambria"/>
          <w:b/>
          <w:sz w:val="24"/>
          <w:szCs w:val="24"/>
        </w:rPr>
        <w:t>5.3.2.</w:t>
      </w:r>
      <w:r>
        <w:rPr>
          <w:rFonts w:ascii="Cambria" w:hAnsi="Cambria"/>
          <w:sz w:val="24"/>
          <w:szCs w:val="24"/>
        </w:rPr>
        <w:t xml:space="preserve"> Os serviços serão executados de forma parcelada, conforme a necessidade da Secretaria Municipal de Saúde, mediante emissão de </w:t>
      </w:r>
      <w:r>
        <w:rPr>
          <w:rFonts w:ascii="Cambria" w:hAnsi="Cambria"/>
          <w:b/>
          <w:bCs/>
          <w:sz w:val="24"/>
          <w:szCs w:val="24"/>
        </w:rPr>
        <w:t>ORDENS DE SERVIÇO.</w:t>
      </w:r>
    </w:p>
    <w:p>
      <w:pPr>
        <w:jc w:val="both"/>
        <w:rPr>
          <w:rFonts w:ascii="Cambria" w:hAnsi="Cambria"/>
          <w:sz w:val="24"/>
          <w:szCs w:val="24"/>
        </w:rPr>
      </w:pPr>
    </w:p>
    <w:bookmarkEnd w:id="71"/>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DA FORMA DE RECEBIMENTO DO OBJETO E PAGAMENTO</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Da forma de recebimento (provisório e definitivo)</w:t>
      </w:r>
    </w:p>
    <w:p>
      <w:pPr>
        <w:pStyle w:val="PargrafodaLista"/>
        <w:numPr>
          <w:ilvl w:val="2"/>
          <w:numId w:val="45"/>
        </w:numPr>
        <w:tabs>
          <w:tab w:val="left" w:pos="567"/>
          <w:tab w:val="left" w:pos="993"/>
          <w:tab w:val="center" w:pos="4873"/>
        </w:tabs>
        <w:suppressAutoHyphens w:val="0"/>
        <w:spacing w:after="200" w:line="276" w:lineRule="auto"/>
        <w:ind w:left="0" w:hanging="11"/>
        <w:jc w:val="both"/>
        <w:rPr>
          <w:rFonts w:ascii="Cambria" w:hAnsi="Cambria"/>
          <w:bCs/>
          <w:sz w:val="24"/>
          <w:szCs w:val="24"/>
        </w:rPr>
      </w:pPr>
      <w:r>
        <w:rPr>
          <w:rFonts w:ascii="Cambria" w:hAnsi="Cambria"/>
          <w:bCs/>
          <w:sz w:val="24"/>
          <w:szCs w:val="24"/>
        </w:rPr>
        <w:t>Os serviços serão executados de forma sumária,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6.1.2. Os serviços poderão ser rejeitados,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 xml:space="preserve">6.1.3. O recebimento </w:t>
      </w:r>
      <w:r>
        <w:rPr>
          <w:rFonts w:ascii="Cambria" w:hAnsi="Cambria"/>
          <w:b/>
          <w:sz w:val="24"/>
          <w:szCs w:val="24"/>
        </w:rPr>
        <w:t>definitivo</w:t>
      </w:r>
      <w:r>
        <w:rPr>
          <w:rFonts w:ascii="Cambria" w:hAnsi="Cambria"/>
          <w:bCs/>
          <w:sz w:val="24"/>
          <w:szCs w:val="24"/>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6.1.4. O prazo para recebimento definitivo poderá ser excepcionalmente prorrogado, de forma justificada, por igual período, quando houver necessidade de diligências para a aferição do atendimento das exigências contratuais.</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 xml:space="preserve">6.1.5. No caso de controvérsia sobre a execução do objeto, quanto à dimensão, qualidade e quantidade, deverá ser observado o teor do </w:t>
      </w:r>
      <w:hyperlink r:id="rId36" w:anchor="art143" w:history="1">
        <w:r>
          <w:rPr>
            <w:rFonts w:ascii="Cambria" w:hAnsi="Cambria"/>
            <w:sz w:val="24"/>
            <w:szCs w:val="24"/>
          </w:rPr>
          <w:t>art. 143 da Lei nº 14.133, de 2021</w:t>
        </w:r>
      </w:hyperlink>
      <w:r>
        <w:rPr>
          <w:rFonts w:ascii="Cambria" w:hAnsi="Cambria"/>
          <w:bCs/>
          <w:sz w:val="24"/>
          <w:szCs w:val="24"/>
        </w:rPr>
        <w:t>, comunicando-se à empresa para emissão de Nota Fiscal no que pertine à parcela incontroversa da execução do objeto, para efeito de liquidação e pagamento.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lastRenderedPageBreak/>
        <w:t>6.1.7. O recebimento provisório ou definitivo não excluirá a responsabilidade civil pela solidez e pela segurança do serviço nem a responsabilidade ético-profissional pela perfeita execução do contrato.</w:t>
      </w:r>
    </w:p>
    <w:p>
      <w:pPr>
        <w:pStyle w:val="PargrafodaLista"/>
        <w:tabs>
          <w:tab w:val="left" w:pos="567"/>
          <w:tab w:val="left" w:pos="709"/>
          <w:tab w:val="center" w:pos="4873"/>
        </w:tabs>
        <w:ind w:left="0"/>
        <w:jc w:val="both"/>
        <w:rPr>
          <w:rFonts w:ascii="Cambria" w:hAnsi="Cambria"/>
          <w:bCs/>
          <w:sz w:val="24"/>
          <w:szCs w:val="24"/>
        </w:rPr>
      </w:pPr>
      <w:r>
        <w:rPr>
          <w:rFonts w:ascii="Cambria" w:hAnsi="Cambria"/>
          <w:bCs/>
          <w:sz w:val="24"/>
          <w:szCs w:val="24"/>
        </w:rPr>
        <w:t>6.1.8. Pós conclusão dos procedimentos quanto ao recebimento, serão realizados os atos correspondentes a liquidação e pagamento da despesa.</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Forma de pagamento</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6.2.1. O Pagamento será efetuado na proporção da realização dos serviços, em até </w:t>
      </w:r>
      <w:r>
        <w:rPr>
          <w:rFonts w:ascii="Cambria" w:hAnsi="Cambria"/>
          <w:b/>
          <w:sz w:val="24"/>
          <w:szCs w:val="24"/>
        </w:rPr>
        <w:t xml:space="preserve">30 (trinta) dias </w:t>
      </w:r>
      <w:r>
        <w:rPr>
          <w:rFonts w:ascii="Cambria" w:hAnsi="Cambria"/>
          <w:bCs/>
          <w:sz w:val="24"/>
          <w:szCs w:val="24"/>
        </w:rPr>
        <w:t>após a emissão da nota fiscal ou instrumento de cobrança equivalente, mediante a constatação da entrega definitiva, através de atesto do recebimento dos serviços e o encaminhamento da documentação necessária, observada todas as disposições pactuadas, bem como, a ordem cronológica de pagamentos.</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6.2.2. Para fins de instrução dos procedimentos de pagamento, além dos documentos citados no subitem anterior, o fornecedor deverá enviar obrigatoriamente a comprovação da regularidade fiscal e trabalhista, constante da seguinte documentação:</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Nota Fiscal/fatura discriminativa, em via única, devidamente atestada pelo gestor do contrato;</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aos Tributos Federais e à Dívida Ativa da União, inclusive em relação as contribuições sociais;</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 Fazenda Estadual;</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 Fazenda Municipal;</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ao FGTS;</w:t>
      </w:r>
    </w:p>
    <w:p>
      <w:pPr>
        <w:pStyle w:val="PargrafodaLista"/>
        <w:numPr>
          <w:ilvl w:val="1"/>
          <w:numId w:val="33"/>
        </w:numPr>
        <w:tabs>
          <w:tab w:val="left" w:pos="567"/>
          <w:tab w:val="left" w:pos="1418"/>
          <w:tab w:val="left" w:pos="2525"/>
          <w:tab w:val="center" w:pos="4873"/>
        </w:tabs>
        <w:suppressAutoHyphens w:val="0"/>
        <w:spacing w:after="200" w:line="276" w:lineRule="auto"/>
        <w:ind w:left="1134" w:firstLine="0"/>
        <w:jc w:val="both"/>
        <w:rPr>
          <w:rFonts w:ascii="Cambria" w:hAnsi="Cambria"/>
          <w:bCs/>
          <w:sz w:val="24"/>
          <w:szCs w:val="24"/>
        </w:rPr>
      </w:pPr>
      <w:r>
        <w:rPr>
          <w:rFonts w:ascii="Cambria" w:hAnsi="Cambria"/>
          <w:bCs/>
          <w:sz w:val="24"/>
          <w:szCs w:val="24"/>
        </w:rPr>
        <w:t>Prova de Regularidade relativa à Justiça do trabalho (Certidão Negativa de Débitos Trabalhistas - CNDT).</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6.2.3. O setor competente quanto aos pagamentos realizará a consulta dos documentos apresentados por meio de verificação on-line ao SICAF ou, na impossibilidade de acesso ao referido Sistema, mediante consulta aos sítios eletrônicos oficiais ou à documentação mencionada no art. 68 da Lei nº 14.133, de 2021.   </w:t>
      </w:r>
    </w:p>
    <w:p>
      <w:pPr>
        <w:pStyle w:val="PargrafodaLista"/>
        <w:numPr>
          <w:ilvl w:val="2"/>
          <w:numId w:val="46"/>
        </w:numPr>
        <w:tabs>
          <w:tab w:val="left" w:pos="567"/>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 xml:space="preserve">A Administração deverá realizar consulta ao SICAF para: </w:t>
      </w:r>
    </w:p>
    <w:p>
      <w:pPr>
        <w:pStyle w:val="PargrafodaLista"/>
        <w:tabs>
          <w:tab w:val="left" w:pos="567"/>
          <w:tab w:val="left" w:pos="1560"/>
          <w:tab w:val="center" w:pos="4873"/>
        </w:tabs>
        <w:ind w:left="709"/>
        <w:jc w:val="both"/>
        <w:rPr>
          <w:rFonts w:ascii="Cambria" w:hAnsi="Cambria"/>
          <w:bCs/>
          <w:sz w:val="24"/>
          <w:szCs w:val="24"/>
        </w:rPr>
      </w:pPr>
      <w:r>
        <w:rPr>
          <w:rFonts w:ascii="Cambria" w:hAnsi="Cambria"/>
          <w:bCs/>
          <w:sz w:val="24"/>
          <w:szCs w:val="24"/>
        </w:rPr>
        <w:t xml:space="preserve">6.2.4.1. Verificar a manutenção das condições de habilitação exigidas no edital; </w:t>
      </w:r>
    </w:p>
    <w:p>
      <w:pPr>
        <w:pStyle w:val="PargrafodaLista"/>
        <w:tabs>
          <w:tab w:val="left" w:pos="567"/>
          <w:tab w:val="left" w:pos="1560"/>
          <w:tab w:val="center" w:pos="4873"/>
        </w:tabs>
        <w:ind w:left="709"/>
        <w:jc w:val="both"/>
        <w:rPr>
          <w:rFonts w:ascii="Cambria" w:hAnsi="Cambria"/>
          <w:bCs/>
          <w:sz w:val="24"/>
          <w:szCs w:val="24"/>
        </w:rPr>
      </w:pPr>
      <w:r>
        <w:rPr>
          <w:rFonts w:ascii="Cambria" w:hAnsi="Cambria"/>
          <w:bCs/>
          <w:sz w:val="24"/>
          <w:szCs w:val="24"/>
        </w:rPr>
        <w:t>6.2.4.2. Identificar possível razão que impeça a participação em licitação, no âmbito do órgão ou entidade, que implique proibição de contratar com o Poder Público, bem como ocorrências impeditivas indiretas.</w:t>
      </w:r>
    </w:p>
    <w:p>
      <w:pPr>
        <w:tabs>
          <w:tab w:val="left" w:pos="567"/>
          <w:tab w:val="left" w:pos="2525"/>
          <w:tab w:val="center" w:pos="4873"/>
        </w:tabs>
        <w:jc w:val="both"/>
        <w:rPr>
          <w:rFonts w:ascii="Cambria" w:hAnsi="Cambria"/>
          <w:bCs/>
          <w:sz w:val="24"/>
          <w:szCs w:val="24"/>
        </w:rPr>
      </w:pPr>
      <w:r>
        <w:rPr>
          <w:rFonts w:ascii="Cambria" w:hAnsi="Cambria"/>
          <w:bCs/>
          <w:sz w:val="24"/>
          <w:szCs w:val="24"/>
        </w:rPr>
        <w:t>6.2.5.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lastRenderedPageBreak/>
        <w:t xml:space="preserve">6.2.7. Persistindo a irregularidade, o contratante deverá adotar as medidas necessárias à rescisão contratual nos autos do processo administrativo correspondente, assegurada ao contratado a ampla defesa. </w:t>
      </w:r>
    </w:p>
    <w:p>
      <w:pPr>
        <w:pStyle w:val="PargrafodaLista"/>
        <w:tabs>
          <w:tab w:val="left" w:pos="567"/>
          <w:tab w:val="left" w:pos="2525"/>
          <w:tab w:val="center" w:pos="4873"/>
        </w:tabs>
        <w:ind w:left="0"/>
        <w:jc w:val="both"/>
        <w:rPr>
          <w:rFonts w:ascii="Cambria" w:hAnsi="Cambria"/>
          <w:bCs/>
          <w:sz w:val="24"/>
          <w:szCs w:val="24"/>
        </w:rPr>
      </w:pPr>
      <w:r>
        <w:rPr>
          <w:rFonts w:ascii="Cambria" w:hAnsi="Cambria"/>
          <w:bCs/>
          <w:sz w:val="24"/>
          <w:szCs w:val="24"/>
        </w:rPr>
        <w:t xml:space="preserve">6.2.8. Havendo a efetiva execução do objeto, os pagamentos serão realizados normalmente, até que se decida pela rescisão do contrato, caso o contratado não regularize sua situação junto ao SICAF.  </w:t>
      </w:r>
    </w:p>
    <w:p>
      <w:pPr>
        <w:pStyle w:val="PargrafodaLista"/>
        <w:tabs>
          <w:tab w:val="left" w:pos="567"/>
          <w:tab w:val="left" w:pos="709"/>
          <w:tab w:val="left" w:pos="2525"/>
          <w:tab w:val="center" w:pos="4873"/>
        </w:tabs>
        <w:ind w:left="0"/>
        <w:jc w:val="both"/>
        <w:rPr>
          <w:rFonts w:ascii="Cambria" w:hAnsi="Cambria"/>
          <w:bCs/>
          <w:sz w:val="24"/>
          <w:szCs w:val="24"/>
        </w:rPr>
      </w:pPr>
      <w:r>
        <w:rPr>
          <w:rFonts w:ascii="Cambria" w:hAnsi="Cambria"/>
          <w:bCs/>
          <w:sz w:val="24"/>
          <w:szCs w:val="24"/>
        </w:rPr>
        <w:t>6.2.9. Será considerada data do pagamento o dia em que constar como emitida a ordem bancária para pagamento.</w:t>
      </w:r>
    </w:p>
    <w:p>
      <w:pPr>
        <w:pStyle w:val="PargrafodaLista"/>
        <w:numPr>
          <w:ilvl w:val="2"/>
          <w:numId w:val="47"/>
        </w:numPr>
        <w:tabs>
          <w:tab w:val="left" w:pos="993"/>
          <w:tab w:val="left" w:pos="1134"/>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Quando do pagamento, será efetuada a retenção tributária prevista na legislação aplicável.</w:t>
      </w:r>
    </w:p>
    <w:p>
      <w:pPr>
        <w:pStyle w:val="PargrafodaLista"/>
        <w:tabs>
          <w:tab w:val="left" w:pos="567"/>
          <w:tab w:val="left" w:pos="709"/>
          <w:tab w:val="left" w:pos="2525"/>
          <w:tab w:val="center" w:pos="4873"/>
        </w:tabs>
        <w:ind w:left="0"/>
        <w:jc w:val="both"/>
        <w:rPr>
          <w:rFonts w:ascii="Cambria" w:hAnsi="Cambria"/>
          <w:bCs/>
          <w:sz w:val="24"/>
          <w:szCs w:val="24"/>
        </w:rPr>
      </w:pPr>
      <w:r>
        <w:rPr>
          <w:rFonts w:ascii="Cambria" w:hAnsi="Cambria"/>
          <w:bCs/>
          <w:sz w:val="24"/>
          <w:szCs w:val="24"/>
        </w:rPr>
        <w:t>6.2.11. Independentemente do percentual de tributo inserido na planilha, quando houver, serão retidos na fonte, quando da realização do pagamento, os percentuais estabelecidos na legislação vigente.</w:t>
      </w:r>
    </w:p>
    <w:p>
      <w:pPr>
        <w:pStyle w:val="PargrafodaLista"/>
        <w:tabs>
          <w:tab w:val="left" w:pos="567"/>
          <w:tab w:val="left" w:pos="709"/>
          <w:tab w:val="left" w:pos="2525"/>
          <w:tab w:val="center" w:pos="4873"/>
        </w:tabs>
        <w:ind w:left="0"/>
        <w:jc w:val="both"/>
        <w:rPr>
          <w:rFonts w:ascii="Cambria" w:hAnsi="Cambria"/>
          <w:bCs/>
          <w:sz w:val="24"/>
          <w:szCs w:val="24"/>
        </w:rPr>
      </w:pPr>
      <w:r>
        <w:rPr>
          <w:rFonts w:ascii="Cambria" w:hAnsi="Cambria"/>
          <w:bCs/>
          <w:sz w:val="24"/>
          <w:szCs w:val="24"/>
        </w:rPr>
        <w:t xml:space="preserve">6.2.12. O contratado regularmente optante pelo Simples Nacional, nos termos da </w:t>
      </w:r>
      <w:hyperlink r:id="rId37" w:history="1">
        <w:r>
          <w:rPr>
            <w:rFonts w:ascii="Cambria" w:hAnsi="Cambria"/>
            <w:bCs/>
            <w:sz w:val="24"/>
            <w:szCs w:val="24"/>
          </w:rPr>
          <w:t>Lei Complementar nº 123, de 2006</w:t>
        </w:r>
      </w:hyperlink>
      <w:r>
        <w:rPr>
          <w:rFonts w:ascii="Cambria" w:hAnsi="Cambria"/>
          <w:bCs/>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PargrafodaLista"/>
        <w:tabs>
          <w:tab w:val="left" w:pos="567"/>
          <w:tab w:val="left" w:pos="2525"/>
          <w:tab w:val="center" w:pos="4873"/>
        </w:tabs>
        <w:ind w:left="0"/>
        <w:jc w:val="both"/>
        <w:rPr>
          <w:rFonts w:ascii="Cambria" w:hAnsi="Cambria"/>
          <w:bCs/>
          <w:sz w:val="24"/>
          <w:szCs w:val="24"/>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DO PRAZO DE VIGÊNCIA</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contrato produzirá seus jurídicos e legais efeitos a partir da data de sua assinatura e vigorará 12 (doze) meses, prorrogável nas formas da Lei n° 14.133, de 2021.</w:t>
      </w:r>
    </w:p>
    <w:p>
      <w:pPr>
        <w:pStyle w:val="PargrafodaLista"/>
        <w:tabs>
          <w:tab w:val="left" w:pos="426"/>
          <w:tab w:val="left" w:pos="2525"/>
          <w:tab w:val="center" w:pos="4873"/>
        </w:tabs>
        <w:ind w:left="0"/>
        <w:jc w:val="both"/>
        <w:rPr>
          <w:rFonts w:ascii="Cambria" w:hAnsi="Cambria"/>
          <w:bCs/>
          <w:sz w:val="24"/>
          <w:szCs w:val="24"/>
        </w:rPr>
      </w:pPr>
      <w:r>
        <w:rPr>
          <w:rFonts w:ascii="Cambria" w:hAnsi="Cambria"/>
          <w:bCs/>
          <w:sz w:val="24"/>
          <w:szCs w:val="24"/>
        </w:rPr>
        <w:t>7.2. A execução dos serviços será de 12 (doze) meses.</w:t>
      </w:r>
    </w:p>
    <w:p>
      <w:pPr>
        <w:tabs>
          <w:tab w:val="left" w:pos="567"/>
          <w:tab w:val="left" w:pos="709"/>
          <w:tab w:val="left" w:pos="2525"/>
          <w:tab w:val="center" w:pos="4873"/>
        </w:tabs>
        <w:jc w:val="both"/>
        <w:rPr>
          <w:rFonts w:ascii="Cambria" w:hAnsi="Cambria"/>
          <w:bCs/>
          <w:sz w:val="24"/>
          <w:szCs w:val="24"/>
          <w:highlight w:val="yellow"/>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REQUISITOS ESPECÍFICOS DO PROCEDIMENTO</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Da forma de apresentação das propostas</w:t>
      </w:r>
    </w:p>
    <w:p>
      <w:pPr>
        <w:pStyle w:val="PargrafodaLista"/>
        <w:numPr>
          <w:ilvl w:val="2"/>
          <w:numId w:val="44"/>
        </w:numPr>
        <w:tabs>
          <w:tab w:val="left" w:pos="567"/>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Na proposta de preços deverá constar as especificações detalhadas do item, quantidade solicitada, o valor unitário e total, já considerando todas as despesas, tributos, impostos, taxas, encargos e demais despesas que incidam direta ou indiretamente sobre os serviços/produtos, mesmo que não estejam registrados neste documento.</w:t>
      </w:r>
    </w:p>
    <w:p>
      <w:pPr>
        <w:pStyle w:val="PargrafodaLista"/>
        <w:numPr>
          <w:ilvl w:val="2"/>
          <w:numId w:val="44"/>
        </w:numPr>
        <w:tabs>
          <w:tab w:val="left" w:pos="567"/>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licitante deverá garantir a execução dos serviços sem qualquer defeito de execução, e se caso constatado alguma imperfeição sem que haja solução será a licitante submetida às penalidades da Lei, além do registro da falha no Cadastro de Fornecedores Municipais.</w:t>
      </w:r>
    </w:p>
    <w:p>
      <w:pPr>
        <w:pStyle w:val="PargrafodaLista"/>
        <w:numPr>
          <w:ilvl w:val="2"/>
          <w:numId w:val="44"/>
        </w:numPr>
        <w:tabs>
          <w:tab w:val="left" w:pos="567"/>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Será considerada vencedora a licitante cuja proposta contenha o </w:t>
      </w:r>
      <w:r>
        <w:rPr>
          <w:rFonts w:ascii="Cambria" w:hAnsi="Cambria"/>
          <w:b/>
          <w:sz w:val="24"/>
          <w:szCs w:val="24"/>
        </w:rPr>
        <w:t xml:space="preserve">MENOR PREÇO GLOBAL </w:t>
      </w:r>
      <w:r>
        <w:rPr>
          <w:rFonts w:ascii="Cambria" w:hAnsi="Cambria"/>
          <w:bCs/>
          <w:sz w:val="24"/>
          <w:szCs w:val="24"/>
        </w:rPr>
        <w:t>desde que atenda as exigências contidas neste Termo de Referência.</w:t>
      </w:r>
    </w:p>
    <w:p>
      <w:pPr>
        <w:pStyle w:val="PargrafodaLista"/>
        <w:tabs>
          <w:tab w:val="left" w:pos="567"/>
          <w:tab w:val="left" w:pos="709"/>
          <w:tab w:val="left" w:pos="2525"/>
          <w:tab w:val="center" w:pos="4873"/>
        </w:tabs>
        <w:ind w:left="0"/>
        <w:jc w:val="both"/>
        <w:rPr>
          <w:rFonts w:ascii="Cambria" w:hAnsi="Cambria"/>
          <w:bCs/>
          <w:sz w:val="24"/>
          <w:szCs w:val="24"/>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MODELO DE GESTÃO DO CONTRATO</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contrato deverá ser executado fielmente pelas partes, de acordo com as cláusulas avençadas e as normas da Lei nº 14.133, de 2021, e cada parte responderá pelas consequências de sua inexecução total ou parcial.</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comunicações entre o órgão ou entidade e a contratada devem ser realizadas por escrito sempre que o ato exigir tal formalidade, admitindo-se o uso de mensagem eletrônica para esse fim.</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órgão ou entidade poderá convocar representante da empresa para adoção de providências que devam ser cumpridas de imediato.</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execução do contrato deverá ser acompanhada e fiscalizada pelo(s) fiscal(is) do contrato, ou pelos respectivos substitutos (</w:t>
      </w:r>
      <w:hyperlink r:id="rId38" w:anchor="art117" w:history="1">
        <w:r>
          <w:rPr>
            <w:rFonts w:ascii="Cambria" w:hAnsi="Cambria"/>
            <w:bCs/>
            <w:sz w:val="24"/>
            <w:szCs w:val="24"/>
          </w:rPr>
          <w:t>Lei nº 14.133, de 2021, art. 117, caput</w:t>
        </w:r>
      </w:hyperlink>
      <w:r>
        <w:rPr>
          <w:rFonts w:ascii="Cambria" w:hAnsi="Cambria"/>
          <w:bCs/>
          <w:sz w:val="24"/>
          <w:szCs w:val="24"/>
        </w:rPr>
        <w:t>).</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acompanhará a execução do contrato, para que sejam cumpridas todas as condições estabelecidas no contrato, de modo a assegurar os melhores resultados para a Administração.</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anotará no histórico de gerenciamento do contrato todas as ocorrências relacionadas à execução do contrato, com a descrição do que for necessário para a regularização das faltas ou dos defeitos observados. (</w:t>
      </w:r>
      <w:hyperlink r:id="rId39" w:anchor="art117§1" w:history="1">
        <w:r>
          <w:rPr>
            <w:rFonts w:ascii="Cambria" w:hAnsi="Cambria"/>
            <w:bCs/>
            <w:sz w:val="24"/>
            <w:szCs w:val="24"/>
          </w:rPr>
          <w:t>Lei nº 14.133, de 2021, art. 117, §1º</w:t>
        </w:r>
      </w:hyperlink>
      <w:r>
        <w:rPr>
          <w:rFonts w:ascii="Cambria" w:hAnsi="Cambria"/>
          <w:bCs/>
          <w:sz w:val="24"/>
          <w:szCs w:val="24"/>
        </w:rPr>
        <w:t>).</w:t>
      </w:r>
    </w:p>
    <w:p>
      <w:pPr>
        <w:pStyle w:val="PargrafodaLista"/>
        <w:numPr>
          <w:ilvl w:val="1"/>
          <w:numId w:val="44"/>
        </w:numPr>
        <w:tabs>
          <w:tab w:val="left" w:pos="42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Identificada qualquer inexatidão ou irregularidade, o fiscal do contrato emitirá notificações para a correção da execução do contrato, determinando prazo para a correção. </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informará ao gestor do contato, em tempo hábil, a situação que demandar decisão ou adoção de medidas que ultrapassem sua competência, para que adote as medidas necessárias e saneadoras, se for o caso.</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No caso de ocorrências que possam inviabilizar a execução do contrato nas datas aprazadas, o fiscal do contrato comunicará o fato imediatamente ao gestor do contrato. </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do contrato comunicar ao gestor do contrato, em tempo hábil, o término do contrato sob sua responsabilidade, com vistas à renovação tempestiva ou à prorrogação contratual.</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PargrafodaLista"/>
        <w:numPr>
          <w:ilvl w:val="1"/>
          <w:numId w:val="44"/>
        </w:numPr>
        <w:tabs>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pPr>
        <w:pStyle w:val="PargrafodaLista"/>
        <w:numPr>
          <w:ilvl w:val="1"/>
          <w:numId w:val="44"/>
        </w:numPr>
        <w:tabs>
          <w:tab w:val="left" w:pos="709"/>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serviço/nota de empenho, do registro de ocorrências, das alterações e das prorrogações contratuais, elaborando relatório com vistas à verificação da necessidade de adequações do contrato para fins de atendimento da finalidade da administração.</w:t>
      </w:r>
    </w:p>
    <w:p>
      <w:pPr>
        <w:pStyle w:val="PargrafodaLista"/>
        <w:numPr>
          <w:ilvl w:val="1"/>
          <w:numId w:val="44"/>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pPr>
        <w:pStyle w:val="PargrafodaLista"/>
        <w:numPr>
          <w:ilvl w:val="1"/>
          <w:numId w:val="44"/>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pPr>
        <w:pStyle w:val="PargrafodaLista"/>
        <w:numPr>
          <w:ilvl w:val="1"/>
          <w:numId w:val="44"/>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pPr>
        <w:pStyle w:val="PargrafodaLista"/>
        <w:numPr>
          <w:ilvl w:val="1"/>
          <w:numId w:val="44"/>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PargrafodaLista"/>
        <w:numPr>
          <w:ilvl w:val="1"/>
          <w:numId w:val="44"/>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fiscal administrativo do contrato comunicará ao gestor do contrato, em tempo hábil, o término do contrato sob sua responsabilidade, com vistas à tempestiva renovação ou prorrogação contratual.</w:t>
      </w:r>
    </w:p>
    <w:p>
      <w:pPr>
        <w:pStyle w:val="PargrafodaLista"/>
        <w:numPr>
          <w:ilvl w:val="1"/>
          <w:numId w:val="44"/>
        </w:numPr>
        <w:tabs>
          <w:tab w:val="left" w:pos="567"/>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pPr>
        <w:pStyle w:val="PargrafodaLista"/>
        <w:tabs>
          <w:tab w:val="left" w:pos="567"/>
          <w:tab w:val="left" w:pos="851"/>
          <w:tab w:val="left" w:pos="2525"/>
          <w:tab w:val="center" w:pos="4873"/>
        </w:tabs>
        <w:ind w:left="0"/>
        <w:jc w:val="both"/>
        <w:rPr>
          <w:rFonts w:ascii="Cambria" w:hAnsi="Cambria"/>
          <w:bCs/>
          <w:sz w:val="24"/>
          <w:szCs w:val="24"/>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center" w:pos="426"/>
        </w:tabs>
        <w:suppressAutoHyphens w:val="0"/>
        <w:spacing w:after="200" w:line="276" w:lineRule="auto"/>
        <w:ind w:left="0" w:firstLine="0"/>
        <w:jc w:val="both"/>
        <w:rPr>
          <w:rFonts w:ascii="Cambria" w:hAnsi="Cambria"/>
          <w:b/>
          <w:sz w:val="24"/>
          <w:szCs w:val="24"/>
        </w:rPr>
      </w:pPr>
      <w:r>
        <w:rPr>
          <w:rFonts w:ascii="Cambria" w:hAnsi="Cambria"/>
          <w:b/>
          <w:sz w:val="24"/>
          <w:szCs w:val="24"/>
        </w:rPr>
        <w:t xml:space="preserve"> DAS OBRIGAÇÕES E RESPONSABILIDADES:</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As partes se obrigam reciprocamente a cumprir integralmente as disposições do instrumento convocatório da Lei Nº. 14.133.</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São obrigações do </w:t>
      </w:r>
      <w:r>
        <w:rPr>
          <w:rFonts w:ascii="Cambria" w:hAnsi="Cambria"/>
          <w:b/>
          <w:sz w:val="24"/>
          <w:szCs w:val="24"/>
          <w:u w:val="single"/>
        </w:rPr>
        <w:t>contratante</w:t>
      </w:r>
      <w:r>
        <w:rPr>
          <w:rFonts w:ascii="Cambria" w:hAnsi="Cambria"/>
          <w:b/>
          <w:sz w:val="24"/>
          <w:szCs w:val="24"/>
        </w:rPr>
        <w:t xml:space="preserve">, nos termos do </w:t>
      </w:r>
      <w:hyperlink r:id="rId40" w:anchor="art92" w:history="1">
        <w:r>
          <w:rPr>
            <w:rFonts w:ascii="Cambria" w:hAnsi="Cambria"/>
            <w:b/>
            <w:sz w:val="24"/>
            <w:szCs w:val="24"/>
          </w:rPr>
          <w:t>art. 92, X, XI e XIV</w:t>
        </w:r>
      </w:hyperlink>
      <w:r>
        <w:rPr>
          <w:rFonts w:ascii="Cambria" w:hAnsi="Cambria"/>
          <w:b/>
          <w:sz w:val="24"/>
          <w:szCs w:val="24"/>
        </w:rPr>
        <w:t xml:space="preserve"> da Lei Federal n.º 14.133/21:</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Exigir o cumprimento de todas as obrigações assumidas pelo Contratado, de acordo com o contrato e seus anexos.</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Receber o objeto no prazo e condições estabelecidas no Termo de Referência.</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Notificar o Contratado, por escrito, sobre vícios, defeitos ou incorreções verificadas no serviços executados, peças e materiais empregados, para que seja por ele substituído, reparado ou corrigido, no total ou em parte, às suas expensas.</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Acompanhar e fiscalizar a execução do contrato e o cumprimento das obrigações pelo Contratado.</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Comunicar a empresa para emissão de Nota Fiscal no que pertine à parcela incontroversa da execução do objeto, para efeito de liquidação e pagamento, quando houver controvérsia sobre a execução do objeto, quanto à dimensão, qualidade e quantidade, conforme o </w:t>
      </w:r>
      <w:hyperlink r:id="rId41" w:anchor="art143" w:history="1">
        <w:r>
          <w:rPr>
            <w:rFonts w:ascii="Cambria" w:hAnsi="Cambria"/>
            <w:bCs/>
            <w:sz w:val="24"/>
            <w:szCs w:val="24"/>
          </w:rPr>
          <w:t>art. 143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Efetuar o pagamento ao Contratado do valor correspondente ao fornecimento do objeto, no prazo, forma e condições estabelecidos no presente Contrato.</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Aplicar ao Contratado as sanções previstas na lei e neste Contrato.</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Cientificar o órgão de representação judicial do Município para adoção das medidas cabíveis quando do descumprimento de obrigações pelo Contratado.</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  Administração terá o prazo de 01 (um) mês, nos termos do art. 123, parágrafo único, da Lei n.º 14.133, de 2021 e o art. 28, do Decreto n. º 11.246, de 2022, a contar da data do protocolo do requerimento para decidir, admitida a prorrogação motivada, por igual período. </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Responder eventuais pedidos de reestabelecimento do equilíbrio econômico-financeiro feitos pelo contratado no prazo máximo de 01 (um) mês, nos termos do art. 123, parágrafo único, da Lei n.º 14.133, de 2021.</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Notificar os emitentes das garantias quanto ao início de processo administrativo para apuração de descumprimento de cláusulas contratuais.</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sz w:val="24"/>
          <w:szCs w:val="24"/>
        </w:rPr>
        <w:t>Indicar o local e horário em que deverão ser executados os serviços.</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sz w:val="24"/>
          <w:szCs w:val="24"/>
        </w:rPr>
        <w:t>Permitir ao pessoal da CONTRATADA acesso ao local da entrega desde que observadas as normas de segurança.</w:t>
      </w:r>
    </w:p>
    <w:p>
      <w:pPr>
        <w:pStyle w:val="PargrafodaLista"/>
        <w:tabs>
          <w:tab w:val="left" w:pos="567"/>
          <w:tab w:val="left" w:pos="709"/>
          <w:tab w:val="left" w:pos="851"/>
          <w:tab w:val="left" w:pos="2525"/>
          <w:tab w:val="center" w:pos="4873"/>
        </w:tabs>
        <w:ind w:left="0"/>
        <w:jc w:val="both"/>
        <w:rPr>
          <w:rFonts w:ascii="Cambria" w:hAnsi="Cambria"/>
          <w:bCs/>
          <w:sz w:val="24"/>
          <w:szCs w:val="24"/>
        </w:rPr>
      </w:pP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São obrigações do </w:t>
      </w:r>
      <w:r>
        <w:rPr>
          <w:rFonts w:ascii="Cambria" w:hAnsi="Cambria"/>
          <w:b/>
          <w:sz w:val="24"/>
          <w:szCs w:val="24"/>
          <w:u w:val="single"/>
        </w:rPr>
        <w:t>contratado</w:t>
      </w:r>
      <w:r>
        <w:rPr>
          <w:rFonts w:ascii="Cambria" w:hAnsi="Cambria"/>
          <w:b/>
          <w:sz w:val="24"/>
          <w:szCs w:val="24"/>
        </w:rPr>
        <w:t xml:space="preserve">, nos termos do </w:t>
      </w:r>
      <w:hyperlink r:id="rId42" w:anchor="art92" w:history="1">
        <w:r>
          <w:rPr>
            <w:rFonts w:ascii="Cambria" w:hAnsi="Cambria"/>
            <w:b/>
            <w:sz w:val="24"/>
            <w:szCs w:val="24"/>
          </w:rPr>
          <w:t>art. 92, XIV, XVI e XVII</w:t>
        </w:r>
      </w:hyperlink>
      <w:r>
        <w:rPr>
          <w:rFonts w:ascii="Cambria" w:hAnsi="Cambria"/>
          <w:b/>
          <w:sz w:val="24"/>
          <w:szCs w:val="24"/>
        </w:rPr>
        <w:t xml:space="preserve"> da Lei Federal n.º 14.133/21:</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 Contratado deve cumprir todas as obrigações constantes do Contrato e em seus anexos, assumindo como exclusivamente seus os riscos e as despesas decorrentes da boa e perfeita execução do objeto, observando, ainda, as obrigações a seguir dispostas: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Executar os serviços de recarga de suprimentos de impressão (toners e cartuchos de tinta), bem como os serviços de manutenção preventiva e corretiva de impressoras, observando rigorosamente as especificações constantes no termo de referência, nos anexos e demais documentos da contratação.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lastRenderedPageBreak/>
        <w:t>Responsabilizar-se pelos vícios e danos decorrentes do objeto, de acordo com o Código de Defesa do Consumidor (</w:t>
      </w:r>
      <w:hyperlink r:id="rId43" w:history="1">
        <w:r>
          <w:rPr>
            <w:rFonts w:ascii="Cambria" w:hAnsi="Cambria"/>
            <w:sz w:val="24"/>
            <w:szCs w:val="24"/>
          </w:rPr>
          <w:t>Lei nº 8.078, de 1990</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Comunicar ao contratante, no prazo máximo de 24 (vinte e quatro) horas, os motivos que impossibilitem o cumprimento dos prazos estabelecidos para execução dos serviços, apresentando a devida justificativa e documentação comprobatória.</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Atender às determinações regulares emitidas pelo fiscal ou gestor do contrato ou autoridade superior (</w:t>
      </w:r>
      <w:hyperlink r:id="rId44" w:anchor="art137" w:history="1">
        <w:r>
          <w:rPr>
            <w:rFonts w:ascii="Cambria" w:hAnsi="Cambria"/>
            <w:sz w:val="24"/>
            <w:szCs w:val="24"/>
          </w:rPr>
          <w:t>art. 137, II, da Lei n.º 14.133, de 2021</w:t>
        </w:r>
      </w:hyperlink>
      <w:r>
        <w:rPr>
          <w:rFonts w:ascii="Cambria" w:hAnsi="Cambria"/>
          <w:sz w:val="24"/>
          <w:szCs w:val="24"/>
        </w:rPr>
        <w:t>) e prestar todo esclarecimento ou informação por eles solicitados.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Prova de regularidade relativa à seguridade social;</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Certidão conjunta relativa aos tributos federais e à Dívida Ativa da União;</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Certidões que comprovem a regularidade perante a Fazenda Estadual ou Distrital do domicílio ou sede do contratado;</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Certidão de Regularidade do FGTS – CRF;</w:t>
      </w:r>
    </w:p>
    <w:p>
      <w:pPr>
        <w:pStyle w:val="PargrafodaLista"/>
        <w:numPr>
          <w:ilvl w:val="3"/>
          <w:numId w:val="38"/>
        </w:numPr>
        <w:tabs>
          <w:tab w:val="left" w:pos="284"/>
        </w:tabs>
        <w:suppressAutoHyphens w:val="0"/>
        <w:spacing w:after="200" w:line="276" w:lineRule="auto"/>
        <w:ind w:left="851" w:hanging="284"/>
        <w:jc w:val="both"/>
        <w:rPr>
          <w:rFonts w:ascii="Cambria" w:hAnsi="Cambria"/>
          <w:sz w:val="24"/>
          <w:szCs w:val="24"/>
        </w:rPr>
      </w:pPr>
      <w:r>
        <w:rPr>
          <w:rFonts w:ascii="Cambria" w:hAnsi="Cambria"/>
          <w:sz w:val="24"/>
          <w:szCs w:val="24"/>
        </w:rPr>
        <w:t>Certidão Negativa de Débitos Trabalhistas – CNDT.</w:t>
      </w:r>
    </w:p>
    <w:p>
      <w:pPr>
        <w:pStyle w:val="PargrafodaLista"/>
        <w:tabs>
          <w:tab w:val="left" w:pos="284"/>
        </w:tabs>
        <w:ind w:left="1843"/>
        <w:jc w:val="both"/>
        <w:rPr>
          <w:rFonts w:ascii="Cambria" w:hAnsi="Cambria"/>
          <w:sz w:val="24"/>
          <w:szCs w:val="24"/>
        </w:rPr>
      </w:pPr>
      <w:r>
        <w:rPr>
          <w:rFonts w:ascii="Cambria" w:hAnsi="Cambria"/>
          <w:sz w:val="24"/>
          <w:szCs w:val="24"/>
        </w:rPr>
        <w:t xml:space="preserve"> </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Comunicar ao Fiscal do contrato, no prazo de 24 (vinte e quatro) horas, qualquer ocorrência anormal ou acidente que se verifique no local da execução do objeto contratual.</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Paralisar, por determinação do contratante, qualquer atividade que não esteja sendo executada de acordo com a boa técnica ou que ponha em risco a segurança de pessoas ou bens de terceiros.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Manter durante toda a vigência do contrato, em compatibilidade com as obrigações assumidas, todas as condições exigidas para habilitação na licitação.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Pr>
            <w:rFonts w:ascii="Cambria" w:hAnsi="Cambria"/>
            <w:sz w:val="24"/>
            <w:szCs w:val="24"/>
          </w:rPr>
          <w:t>art. 116, da Lei n.º 14.133, de 2021</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lastRenderedPageBreak/>
        <w:t>Comprovar a reserva de cargos a que se refere a cláusula acima, no prazo fixado pelo fiscal do contrato, com a indicação dos empregados que preencheram as referidas vagas (</w:t>
      </w:r>
      <w:hyperlink r:id="rId46" w:anchor="art116" w:history="1">
        <w:r>
          <w:rPr>
            <w:rFonts w:ascii="Cambria" w:hAnsi="Cambria"/>
            <w:sz w:val="24"/>
            <w:szCs w:val="24"/>
          </w:rPr>
          <w:t>art. 116, parágrafo único, da Lei n.º 14.133, de 2021</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Guardar sigilo sobre todas as informações obtidas em decorrência do cumprimento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Pr>
            <w:rFonts w:ascii="Cambria" w:hAnsi="Cambria"/>
            <w:sz w:val="24"/>
            <w:szCs w:val="24"/>
          </w:rPr>
          <w:t>art. 124, II, d, da Lei nº 14.133, de 2021</w:t>
        </w:r>
      </w:hyperlink>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Cumprir, além dos postulados legais vigentes de âmbito federal, estadual ou municipal, as normas de segurança do contratante.</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bookmarkStart w:id="72" w:name="_Ref118293001"/>
      <w:r>
        <w:rPr>
          <w:rFonts w:ascii="Cambria" w:hAnsi="Cambria"/>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2"/>
      <w:r>
        <w:rPr>
          <w:rFonts w:ascii="Cambria" w:hAnsi="Cambria"/>
          <w:sz w:val="24"/>
          <w:szCs w:val="24"/>
        </w:rPr>
        <w:t>.</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Orientar e treinar seus empregados sobre os deveres previstos na Lei nº 13.709, de 14 de agosto de 2018, se for o caso, adotando medidas eficazes para proteção de dados pessoais a que tenha acesso por força da execução deste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Submeter previamente, por escrito, ao contratante, para análise e aprovação, quaisquer mudanças nos métodos executivos que fujam às especificações do memorial descritivo ou instrumento congênere.</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bookmarkStart w:id="73" w:name="_Ref118293030"/>
      <w:r>
        <w:rPr>
          <w:rFonts w:ascii="Cambria" w:hAnsi="Cambria"/>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3"/>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Assinar e devolver a ordem de serviço ao Município de Miraíma -CE no prazo máximo de 24 (vinte e quatro) horas, a contar da data do seu recebimento.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Executar os serviços contratados nos prazos estabelecidos no Termo de Referência, contados do recebimento da Ordem de Serviço, nos locais indicados pela Secretaria Municipal de Saúde, observando rigorosamente as especificações técnicas, condições contratuais e disposições constantes de sua proposta de preços, responsabilizando-se por todos os custos diretos e indiretos necessários à perfeita execução do objeto.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 reparar, corrigir, remover ou substituir, às suas expensas, no total ou em parte, o objeto do contrato em que se verificarem vícios, defeitos ou incorreções.</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lastRenderedPageBreak/>
        <w:t>Responsabilizar-se pelos danos causados diretamente à Administração ou a terceiros, decorrentes de sua culpa ou dolo na execução do contrato, não excluindo ou reduzindo essa responsabilidade a fiscalização ou o acompanhamento pelo órgão interessado.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Aceitar, nas mesmas condições contratuais, os acréscimos ou supressões que se fizerem no fornecimento, até 25% (vinte e cinco por cento) do valor inicial atualizado do contrato, na forma do art. 125º da Lei n.º 14.133/21.</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Prestar os esclarecimentos que forem solicitados pelo Município de Miraíma-Ceará, cujas reclamações se obriga a atender prontamente, bem como dar ciência ao mesmo, imediatamente e por escrito, de qualquer anormalidade que verificar quando da execução do contrato.</w:t>
      </w:r>
    </w:p>
    <w:p>
      <w:pPr>
        <w:pStyle w:val="PargrafodaLista"/>
        <w:numPr>
          <w:ilvl w:val="0"/>
          <w:numId w:val="38"/>
        </w:numPr>
        <w:tabs>
          <w:tab w:val="left" w:pos="284"/>
        </w:tabs>
        <w:suppressAutoHyphens w:val="0"/>
        <w:spacing w:after="200" w:line="276" w:lineRule="auto"/>
        <w:ind w:left="0" w:firstLine="0"/>
        <w:jc w:val="both"/>
        <w:rPr>
          <w:rFonts w:ascii="Cambria" w:hAnsi="Cambria"/>
          <w:sz w:val="24"/>
          <w:szCs w:val="24"/>
        </w:rPr>
      </w:pPr>
      <w:r>
        <w:rPr>
          <w:rFonts w:ascii="Cambria" w:hAnsi="Cambria"/>
          <w:sz w:val="24"/>
          <w:szCs w:val="24"/>
        </w:rPr>
        <w:t>No caso de constatação da inadequação do objeto licitado às normas e exigências especificadas no termo de referência, no edital ou na proposta de preços da CONTRATADA, a CONTRATANTE os recusará, devendo no prazo máximo de 24 (vinte e quatro) horas ser adequados às supracitadas condições.</w:t>
      </w:r>
    </w:p>
    <w:p>
      <w:pPr>
        <w:pStyle w:val="PargrafodaLista"/>
        <w:tabs>
          <w:tab w:val="left" w:pos="284"/>
        </w:tabs>
        <w:ind w:left="0"/>
        <w:jc w:val="both"/>
        <w:rPr>
          <w:rFonts w:ascii="Cambria" w:hAnsi="Cambria"/>
          <w:sz w:val="24"/>
          <w:szCs w:val="24"/>
          <w:highlight w:val="yellow"/>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INFRAÇÕES E SANÇÕES ADMINISTRATIVAS (</w:t>
      </w:r>
      <w:hyperlink r:id="rId48" w:anchor="art92" w:history="1">
        <w:r>
          <w:rPr>
            <w:rFonts w:ascii="Cambria" w:hAnsi="Cambria"/>
            <w:b/>
            <w:sz w:val="24"/>
            <w:szCs w:val="24"/>
          </w:rPr>
          <w:t>art. 92, XIV</w:t>
        </w:r>
      </w:hyperlink>
      <w:r>
        <w:rPr>
          <w:rFonts w:ascii="Cambria" w:hAnsi="Cambria"/>
          <w:b/>
          <w:sz w:val="24"/>
          <w:szCs w:val="24"/>
        </w:rPr>
        <w:t>)</w:t>
      </w: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Comete infração administrativa, nos termos da </w:t>
      </w:r>
      <w:hyperlink r:id="rId49" w:history="1">
        <w:r>
          <w:rPr>
            <w:rFonts w:ascii="Cambria" w:hAnsi="Cambria"/>
            <w:b/>
            <w:sz w:val="24"/>
            <w:szCs w:val="24"/>
          </w:rPr>
          <w:t>Lei nº 14.133, de 2021</w:t>
        </w:r>
      </w:hyperlink>
      <w:r>
        <w:rPr>
          <w:rFonts w:ascii="Cambria" w:hAnsi="Cambria"/>
          <w:b/>
          <w:sz w:val="24"/>
          <w:szCs w:val="24"/>
        </w:rPr>
        <w:t>, o licitante/adjudicatário que, com dolo ou culpa:</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Deixar de entregar a documentação exigida para o certame ou não entregar qualquer documento que tenha sido solicitado pelo/a pregoeiro/a durante o certame;</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Salvo em decorrência de fato superveniente devidamente justificado, não mantiver a proposta em especial quando:</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b.1) não enviar a proposta adequada ao último lance ofertado ou após a negociação; </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b.2) recusar-se a enviar o detalhamento da proposta quando exigível; </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b.3) pedir para ser desclassificado quando encerrada a etapa competitiva; ou </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b.4) deixar de apresentar amostra;</w:t>
      </w:r>
    </w:p>
    <w:p>
      <w:pPr>
        <w:pStyle w:val="PargrafodaLista"/>
        <w:tabs>
          <w:tab w:val="left" w:pos="284"/>
          <w:tab w:val="left" w:pos="851"/>
          <w:tab w:val="left" w:pos="1276"/>
          <w:tab w:val="left" w:pos="2525"/>
          <w:tab w:val="center" w:pos="4873"/>
        </w:tabs>
        <w:ind w:left="0"/>
        <w:jc w:val="both"/>
        <w:rPr>
          <w:rFonts w:ascii="Cambria" w:hAnsi="Cambria"/>
          <w:bCs/>
          <w:sz w:val="24"/>
          <w:szCs w:val="24"/>
        </w:rPr>
      </w:pPr>
      <w:r>
        <w:rPr>
          <w:rFonts w:ascii="Cambria" w:hAnsi="Cambria"/>
          <w:bCs/>
          <w:sz w:val="24"/>
          <w:szCs w:val="24"/>
        </w:rPr>
        <w:tab/>
      </w:r>
      <w:r>
        <w:rPr>
          <w:rFonts w:ascii="Cambria" w:hAnsi="Cambria"/>
          <w:bCs/>
          <w:sz w:val="24"/>
          <w:szCs w:val="24"/>
        </w:rPr>
        <w:tab/>
        <w:t xml:space="preserve">b.5) apresentar proposta ou amostra em desacordo com as especificações do edital; </w:t>
      </w:r>
    </w:p>
    <w:p>
      <w:pPr>
        <w:pStyle w:val="PargrafodaLista"/>
        <w:tabs>
          <w:tab w:val="left" w:pos="284"/>
          <w:tab w:val="left" w:pos="851"/>
          <w:tab w:val="left" w:pos="1276"/>
          <w:tab w:val="left" w:pos="2525"/>
          <w:tab w:val="center" w:pos="4873"/>
        </w:tabs>
        <w:ind w:left="0"/>
        <w:jc w:val="both"/>
        <w:rPr>
          <w:rFonts w:ascii="Cambria" w:hAnsi="Cambria"/>
          <w:bCs/>
          <w:sz w:val="24"/>
          <w:szCs w:val="24"/>
        </w:rPr>
      </w:pP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Não celebrar o contrato ou não entregar a documentação exigida para a assinatura de tais instrumentos, quando convocado dentro do prazo de validade de sua proposta;</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Recusar-se, sem justificativa, a assinar a ata de registro de preço ou contrato, ou a aceitar ou retirar o instrumento equivalente no prazo estabelecido pela Administração;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Apresentar declaração ou documentação falsa exigida para o certame ou prestar declaração falsa durante 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Fraudar 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Comportar-se de modo inidôneo ou cometer fraude de qualquer natureza, em especial quando: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Agir em conluio ou em desconformidade com a lei; </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Induzir deliberadamente a erro no julgamento; </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Praticar atos ilícitos com vistas a frustrar os objetivos da licitação;</w:t>
      </w:r>
    </w:p>
    <w:p>
      <w:pPr>
        <w:pStyle w:val="PargrafodaLista"/>
        <w:numPr>
          <w:ilvl w:val="2"/>
          <w:numId w:val="2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Praticar ato lesivo previsto no </w:t>
      </w:r>
      <w:hyperlink r:id="rId50" w:anchor="art5" w:history="1">
        <w:r>
          <w:rPr>
            <w:rFonts w:ascii="Cambria" w:hAnsi="Cambria"/>
            <w:bCs/>
            <w:sz w:val="24"/>
            <w:szCs w:val="24"/>
          </w:rPr>
          <w:t>art. 5º da Lei n.º 12.846, de 2013</w:t>
        </w:r>
      </w:hyperlink>
      <w:r>
        <w:rPr>
          <w:rFonts w:ascii="Cambria" w:hAnsi="Cambria"/>
          <w:bCs/>
          <w:sz w:val="24"/>
          <w:szCs w:val="24"/>
        </w:rPr>
        <w:t>.</w:t>
      </w:r>
    </w:p>
    <w:p>
      <w:pPr>
        <w:pStyle w:val="PargrafodaLista"/>
        <w:tabs>
          <w:tab w:val="left" w:pos="567"/>
          <w:tab w:val="left" w:pos="851"/>
          <w:tab w:val="left" w:pos="993"/>
          <w:tab w:val="center" w:pos="4873"/>
        </w:tabs>
        <w:ind w:left="0"/>
        <w:jc w:val="both"/>
        <w:rPr>
          <w:rFonts w:ascii="Cambria" w:hAnsi="Cambria"/>
          <w:b/>
          <w:sz w:val="24"/>
          <w:szCs w:val="24"/>
        </w:rPr>
      </w:pP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Serão aplicadas ao licitante/adjudicatário que incorrer nas infrações acima descritas, garantida a defesa prévia, sem prejuízo das responsabilidades civil e criminal, as seguintes sanções:</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Advertência; </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Multa;</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Impedimento de licitar e contratar e</w:t>
      </w:r>
    </w:p>
    <w:p>
      <w:pPr>
        <w:pStyle w:val="PargrafodaLista"/>
        <w:numPr>
          <w:ilvl w:val="2"/>
          <w:numId w:val="36"/>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Declaração de inidoneidade para licitar ou contratar, enquanto perdurarem os motivos determinantes da punição ou até que seja promovida sua reabilitação perante a própria autoridade que aplicou a penalidade.</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Na aplicação das sanções serão considerados:</w:t>
      </w:r>
    </w:p>
    <w:p>
      <w:pPr>
        <w:pStyle w:val="PargrafodaLista"/>
        <w:numPr>
          <w:ilvl w:val="2"/>
          <w:numId w:val="39"/>
        </w:numPr>
        <w:tabs>
          <w:tab w:val="left" w:pos="284"/>
          <w:tab w:val="left" w:pos="851"/>
          <w:tab w:val="left" w:pos="1276"/>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A natureza e a gravidade da infração cometida.</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peculiaridades do caso concreto</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circunstâncias agravantes ou atenuantes</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Os danos que dela provierem para a Administração Pública</w:t>
      </w:r>
    </w:p>
    <w:p>
      <w:pPr>
        <w:pStyle w:val="PargrafodaLista"/>
        <w:numPr>
          <w:ilvl w:val="2"/>
          <w:numId w:val="39"/>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implantação ou o aperfeiçoamento de programa de integridade, conforme normas e orientações dos órgãos de controle.</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Para fins de dosimetria e cálculo das penalidades acima impostas, estas tomarão como base os parâmetros delineados no tópico a seguir.</w:t>
      </w:r>
    </w:p>
    <w:p>
      <w:pPr>
        <w:pStyle w:val="PargrafodaLista"/>
        <w:tabs>
          <w:tab w:val="left" w:pos="567"/>
          <w:tab w:val="left" w:pos="709"/>
          <w:tab w:val="left" w:pos="851"/>
          <w:tab w:val="left" w:pos="2525"/>
          <w:tab w:val="center" w:pos="4873"/>
        </w:tabs>
        <w:ind w:left="0"/>
        <w:jc w:val="both"/>
        <w:rPr>
          <w:rFonts w:ascii="Cambria" w:hAnsi="Cambria"/>
          <w:b/>
          <w:sz w:val="24"/>
          <w:szCs w:val="24"/>
        </w:rPr>
      </w:pPr>
    </w:p>
    <w:p>
      <w:pPr>
        <w:pStyle w:val="PargrafodaLista"/>
        <w:numPr>
          <w:ilvl w:val="1"/>
          <w:numId w:val="44"/>
        </w:numPr>
        <w:tabs>
          <w:tab w:val="left" w:pos="567"/>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 xml:space="preserve">Comete infração administrativa, nos termos da </w:t>
      </w:r>
      <w:hyperlink r:id="rId51" w:history="1">
        <w:r>
          <w:rPr>
            <w:rFonts w:ascii="Cambria" w:hAnsi="Cambria"/>
            <w:b/>
            <w:sz w:val="24"/>
            <w:szCs w:val="24"/>
          </w:rPr>
          <w:t>Lei nº 14.133, de 2021</w:t>
        </w:r>
      </w:hyperlink>
      <w:r>
        <w:rPr>
          <w:rFonts w:ascii="Cambria" w:hAnsi="Cambria"/>
          <w:b/>
          <w:sz w:val="24"/>
          <w:szCs w:val="24"/>
        </w:rPr>
        <w:t>, o contratado que, com dolo ou culpa:</w:t>
      </w:r>
    </w:p>
    <w:p>
      <w:pPr>
        <w:pStyle w:val="PargrafodaLista"/>
        <w:numPr>
          <w:ilvl w:val="2"/>
          <w:numId w:val="37"/>
        </w:numPr>
        <w:tabs>
          <w:tab w:val="left" w:pos="284"/>
          <w:tab w:val="left" w:pos="851"/>
          <w:tab w:val="left" w:pos="1276"/>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Der causa à inexecução parcial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Der causa à inexecução parcial do contrato que cause grave dano à Administração ou ao funcionamento dos serviços públicos ou ao interesse coletivo;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Der causa à inexecução total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Ensejar o retardamento da execução ou da entrega do objeto da contratação sem motivo justificado;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Apresentar documentação falsa ou prestar declaração falsa durante a execução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Praticar ato fraudulento na execução do contrato;</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Comportar-se de modo inidôneo ou cometer fraude de qualquer natureza;</w:t>
      </w:r>
    </w:p>
    <w:p>
      <w:pPr>
        <w:pStyle w:val="PargrafodaLista"/>
        <w:numPr>
          <w:ilvl w:val="2"/>
          <w:numId w:val="37"/>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praticar ato lesivo previsto no </w:t>
      </w:r>
      <w:hyperlink r:id="rId52" w:anchor="art5" w:history="1">
        <w:r>
          <w:rPr>
            <w:rFonts w:ascii="Cambria" w:hAnsi="Cambria"/>
            <w:bCs/>
            <w:sz w:val="24"/>
            <w:szCs w:val="24"/>
          </w:rPr>
          <w:t>art. 5º da Lei nº 12.846, de 1º de agosto de 2013</w:t>
        </w:r>
      </w:hyperlink>
      <w:r>
        <w:rPr>
          <w:rFonts w:ascii="Cambria" w:hAnsi="Cambria"/>
          <w:bCs/>
          <w:sz w:val="24"/>
          <w:szCs w:val="24"/>
        </w:rPr>
        <w:t>.</w:t>
      </w:r>
    </w:p>
    <w:p>
      <w:pPr>
        <w:pStyle w:val="PargrafodaLista"/>
        <w:tabs>
          <w:tab w:val="left" w:pos="284"/>
          <w:tab w:val="left" w:pos="851"/>
          <w:tab w:val="left" w:pos="1276"/>
          <w:tab w:val="left" w:pos="2525"/>
          <w:tab w:val="center" w:pos="4873"/>
        </w:tabs>
        <w:ind w:left="0"/>
        <w:jc w:val="both"/>
        <w:rPr>
          <w:rFonts w:ascii="Cambria" w:hAnsi="Cambria"/>
          <w:bCs/>
          <w:sz w:val="24"/>
          <w:szCs w:val="24"/>
        </w:rPr>
      </w:pP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Serão aplicadas ao contratado que incorrer nas infrações acima descritas as seguintes sanções:</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Advertência</w:t>
      </w:r>
      <w:r>
        <w:rPr>
          <w:rFonts w:ascii="Cambria" w:hAnsi="Cambria"/>
          <w:bCs/>
          <w:sz w:val="24"/>
          <w:szCs w:val="24"/>
        </w:rPr>
        <w:t>, quando o contratado der causa à inexecução parcial do contrato, sempre que não se justificar a imposição de penalidade mais grave (</w:t>
      </w:r>
      <w:hyperlink r:id="rId53" w:anchor="art156§2" w:history="1">
        <w:r>
          <w:rPr>
            <w:rFonts w:ascii="Cambria" w:hAnsi="Cambria"/>
            <w:bCs/>
            <w:sz w:val="24"/>
            <w:szCs w:val="24"/>
          </w:rPr>
          <w:t xml:space="preserve">art. 156, §2º, da </w:t>
        </w:r>
        <w:bookmarkStart w:id="74" w:name="_Hlk114504069"/>
        <w:r>
          <w:rPr>
            <w:rFonts w:ascii="Cambria" w:hAnsi="Cambria"/>
            <w:bCs/>
            <w:sz w:val="24"/>
            <w:szCs w:val="24"/>
          </w:rPr>
          <w:t>Lei nº 14.133, de 2021</w:t>
        </w:r>
        <w:bookmarkEnd w:id="74"/>
      </w:hyperlink>
      <w:r>
        <w:rPr>
          <w:rFonts w:ascii="Cambria" w:hAnsi="Cambria"/>
          <w:bCs/>
          <w:sz w:val="24"/>
          <w:szCs w:val="24"/>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Impedimento de licitar e contratar</w:t>
      </w:r>
      <w:r>
        <w:rPr>
          <w:rFonts w:ascii="Cambria" w:hAnsi="Cambria"/>
          <w:bCs/>
          <w:sz w:val="24"/>
          <w:szCs w:val="24"/>
        </w:rPr>
        <w:t>, quando praticadas as condutas descritas nas alíneas “b”, “c” e “d” do subitem acima, sempre que não se justificar a imposição de penalidade mais grave (</w:t>
      </w:r>
      <w:hyperlink r:id="rId54" w:anchor="art156§4" w:history="1">
        <w:r>
          <w:rPr>
            <w:rFonts w:ascii="Cambria" w:hAnsi="Cambria"/>
            <w:bCs/>
            <w:sz w:val="24"/>
            <w:szCs w:val="24"/>
          </w:rPr>
          <w:t>art. 156, § 4º, da Lei nº 14.133, de 2021</w:t>
        </w:r>
      </w:hyperlink>
      <w:r>
        <w:rPr>
          <w:rFonts w:ascii="Cambria" w:hAnsi="Cambria"/>
          <w:bCs/>
          <w:sz w:val="24"/>
          <w:szCs w:val="24"/>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lastRenderedPageBreak/>
        <w:t>Declaração de inidoneidade para licitar e contratar</w:t>
      </w:r>
      <w:r>
        <w:rPr>
          <w:rFonts w:ascii="Cambria" w:hAnsi="Cambria"/>
          <w:bCs/>
          <w:sz w:val="24"/>
          <w:szCs w:val="24"/>
        </w:rPr>
        <w:t>, quando praticadas as condutas descritas nas alíneas “e”, “f”, “g” e “h” do subitem acima, bem como nas alíneas “b”, “c” e “d”, que justifiquem a imposição de penalidade mais grave (</w:t>
      </w:r>
      <w:hyperlink r:id="rId55" w:anchor="art156§5" w:history="1">
        <w:r>
          <w:rPr>
            <w:rFonts w:ascii="Cambria" w:hAnsi="Cambria"/>
            <w:bCs/>
            <w:sz w:val="24"/>
            <w:szCs w:val="24"/>
          </w:rPr>
          <w:t>art. 156, §5º, da Lei nº 14.133, de 2021</w:t>
        </w:r>
      </w:hyperlink>
      <w:r>
        <w:rPr>
          <w:rFonts w:ascii="Cambria" w:hAnsi="Cambria"/>
          <w:bCs/>
          <w:sz w:val="24"/>
          <w:szCs w:val="24"/>
        </w:rPr>
        <w:t>).</w:t>
      </w:r>
    </w:p>
    <w:p>
      <w:pPr>
        <w:pStyle w:val="PargrafodaLista"/>
        <w:numPr>
          <w:ilvl w:val="2"/>
          <w:numId w:val="34"/>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
          <w:sz w:val="24"/>
          <w:szCs w:val="24"/>
        </w:rPr>
        <w:t>Multa</w:t>
      </w:r>
      <w:r>
        <w:rPr>
          <w:rFonts w:ascii="Cambria" w:hAnsi="Cambria"/>
          <w:bCs/>
          <w:sz w:val="24"/>
          <w:szCs w:val="24"/>
        </w:rPr>
        <w:t>:</w:t>
      </w:r>
    </w:p>
    <w:p>
      <w:pPr>
        <w:tabs>
          <w:tab w:val="left" w:pos="284"/>
          <w:tab w:val="left" w:pos="851"/>
          <w:tab w:val="left" w:pos="1276"/>
          <w:tab w:val="left" w:pos="2525"/>
          <w:tab w:val="center" w:pos="4873"/>
        </w:tabs>
        <w:jc w:val="both"/>
        <w:rPr>
          <w:rFonts w:ascii="Cambria" w:hAnsi="Cambria"/>
          <w:bCs/>
          <w:sz w:val="24"/>
          <w:szCs w:val="24"/>
        </w:rPr>
      </w:pPr>
      <w:r>
        <w:rPr>
          <w:rFonts w:ascii="Cambria" w:hAnsi="Cambria"/>
          <w:bCs/>
          <w:sz w:val="24"/>
          <w:szCs w:val="24"/>
        </w:rPr>
        <w:t>d.1) Moratória de 1% (um por cento) por dia de atraso injustificado sobre o valor da parcela inadimplida, até o limite de 30 (trinta) dias;</w:t>
      </w:r>
    </w:p>
    <w:p>
      <w:pPr>
        <w:pStyle w:val="PargrafodaLista"/>
        <w:tabs>
          <w:tab w:val="left" w:pos="284"/>
          <w:tab w:val="left" w:pos="851"/>
          <w:tab w:val="left" w:pos="1276"/>
          <w:tab w:val="center" w:pos="4873"/>
        </w:tabs>
        <w:ind w:left="0"/>
        <w:jc w:val="both"/>
        <w:rPr>
          <w:rFonts w:ascii="Cambria" w:hAnsi="Cambria"/>
          <w:bCs/>
          <w:sz w:val="24"/>
          <w:szCs w:val="24"/>
        </w:rPr>
      </w:pPr>
      <w:r>
        <w:rPr>
          <w:rFonts w:ascii="Cambria" w:hAnsi="Cambria"/>
          <w:bCs/>
          <w:sz w:val="24"/>
          <w:szCs w:val="24"/>
        </w:rPr>
        <w:t>d.2) Compensatória de 30% (trinta por cento) sobre o valor total do contrato, no caso de inexecução total do objeto.</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aplicação das sanções previstas neste Contrato não exclui, em hipótese alguma, a obrigação de reparação integral do dano causado ao Contratante (</w:t>
      </w:r>
      <w:hyperlink r:id="rId56" w:anchor="art156§9" w:history="1">
        <w:r>
          <w:rPr>
            <w:rFonts w:ascii="Cambria" w:hAnsi="Cambria"/>
            <w:bCs/>
            <w:sz w:val="24"/>
            <w:szCs w:val="24"/>
          </w:rPr>
          <w:t>art. 156, §9º,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Todas as sanções previstas neste Contrato poderão ser aplicadas cumulativamente com a multa (</w:t>
      </w:r>
      <w:hyperlink r:id="rId57" w:anchor="art156§7" w:history="1">
        <w:r>
          <w:rPr>
            <w:rFonts w:ascii="Cambria" w:hAnsi="Cambria"/>
            <w:bCs/>
            <w:sz w:val="24"/>
            <w:szCs w:val="24"/>
          </w:rPr>
          <w:t>art. 156, §7º,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Antes da aplicação da multa será facultada a defesa do interessado no prazo de 05 (CINCO) DIAS úteis, contado da data de sua intimação (</w:t>
      </w:r>
      <w:hyperlink r:id="rId58" w:anchor="art157" w:history="1">
        <w:r>
          <w:rPr>
            <w:rFonts w:ascii="Cambria" w:hAnsi="Cambria"/>
            <w:bCs/>
            <w:sz w:val="24"/>
            <w:szCs w:val="24"/>
          </w:rPr>
          <w:t>art. 157,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9" w:anchor="art156§8" w:history="1">
        <w:r>
          <w:rPr>
            <w:rFonts w:ascii="Cambria" w:hAnsi="Cambria"/>
            <w:bCs/>
            <w:sz w:val="24"/>
            <w:szCs w:val="24"/>
          </w:rPr>
          <w:t>art. 156, §8º,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Previamente ao encaminhamento à cobrança judicial, a multa poderá ser recolhida administrativamente no prazo máximo de 30 (trinta) dias, a contar da data do recebimento da comunicação enviada pela autoridade competente.</w:t>
      </w:r>
      <w:bookmarkStart w:id="75" w:name="_Hlk78351618"/>
      <w:bookmarkEnd w:id="75"/>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 aplicação das sanções realizar-se-á em processo administrativo que assegure o contraditório e a ampla defesa ao Contratado, observando-se o procedimento previsto no caput e parágrafos do </w:t>
      </w:r>
      <w:hyperlink r:id="rId60" w:anchor="art158" w:history="1">
        <w:r>
          <w:rPr>
            <w:rFonts w:ascii="Cambria" w:hAnsi="Cambria"/>
            <w:bCs/>
            <w:sz w:val="24"/>
            <w:szCs w:val="24"/>
          </w:rPr>
          <w:t>art. 158 da Lei nº 14.133, de 2021</w:t>
        </w:r>
      </w:hyperlink>
      <w:r>
        <w:rPr>
          <w:rFonts w:ascii="Cambria" w:hAnsi="Cambria"/>
          <w:bCs/>
          <w:sz w:val="24"/>
          <w:szCs w:val="24"/>
        </w:rPr>
        <w:t>, para as penalidades de impedimento de licitar e contratar e de declaração de inidoneidade para licitar ou contratar.</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Na aplicação das sanções serão considerados (</w:t>
      </w:r>
      <w:hyperlink r:id="rId61" w:anchor="art156§1" w:history="1">
        <w:r>
          <w:rPr>
            <w:rFonts w:ascii="Cambria" w:hAnsi="Cambria"/>
            <w:bCs/>
            <w:sz w:val="24"/>
            <w:szCs w:val="24"/>
          </w:rPr>
          <w:t>art. 156, §1º, da Lei nº 14.133, de 2021</w:t>
        </w:r>
      </w:hyperlink>
      <w:r>
        <w:rPr>
          <w:rFonts w:ascii="Cambria" w:hAnsi="Cambria"/>
          <w:bCs/>
          <w:sz w:val="24"/>
          <w:szCs w:val="24"/>
        </w:rPr>
        <w:t>):</w:t>
      </w:r>
    </w:p>
    <w:p>
      <w:pPr>
        <w:pStyle w:val="PargrafodaLista"/>
        <w:numPr>
          <w:ilvl w:val="2"/>
          <w:numId w:val="35"/>
        </w:numPr>
        <w:tabs>
          <w:tab w:val="left" w:pos="284"/>
          <w:tab w:val="left" w:pos="851"/>
          <w:tab w:val="left" w:pos="1276"/>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A natureza e a gravidade da infração cometida;</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peculiaridades do caso concreto;</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As circunstâncias agravantes ou atenuantes;</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Os danos que dela provierem para o Contratante;</w:t>
      </w:r>
    </w:p>
    <w:p>
      <w:pPr>
        <w:pStyle w:val="PargrafodaLista"/>
        <w:numPr>
          <w:ilvl w:val="2"/>
          <w:numId w:val="35"/>
        </w:numPr>
        <w:tabs>
          <w:tab w:val="left" w:pos="284"/>
          <w:tab w:val="left" w:pos="851"/>
          <w:tab w:val="left" w:pos="1276"/>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implantação ou o aperfeiçoamento de programa de integridade, conforme normas e orientações dos órgãos de controle.</w:t>
      </w:r>
    </w:p>
    <w:p>
      <w:pPr>
        <w:pStyle w:val="PargrafodaLista"/>
        <w:numPr>
          <w:ilvl w:val="2"/>
          <w:numId w:val="44"/>
        </w:numPr>
        <w:tabs>
          <w:tab w:val="left" w:pos="567"/>
          <w:tab w:val="left" w:pos="709"/>
          <w:tab w:val="left" w:pos="851"/>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Os atos previstos como infrações administrativas na </w:t>
      </w:r>
      <w:hyperlink r:id="rId62" w:history="1">
        <w:r>
          <w:rPr>
            <w:rFonts w:ascii="Cambria" w:hAnsi="Cambria"/>
            <w:bCs/>
            <w:sz w:val="24"/>
            <w:szCs w:val="24"/>
          </w:rPr>
          <w:t>Lei nº 14.133, de 2021</w:t>
        </w:r>
      </w:hyperlink>
      <w:r>
        <w:rPr>
          <w:rFonts w:ascii="Cambria" w:hAnsi="Cambria"/>
          <w:bCs/>
          <w:sz w:val="24"/>
          <w:szCs w:val="24"/>
        </w:rPr>
        <w:t xml:space="preserve">, ou em outras leis de licitações e contratos da Administração Pública que também sejam tipificados como atos lesivos na </w:t>
      </w:r>
      <w:hyperlink r:id="rId63" w:history="1">
        <w:r>
          <w:rPr>
            <w:rFonts w:ascii="Cambria" w:hAnsi="Cambria"/>
            <w:bCs/>
            <w:sz w:val="24"/>
            <w:szCs w:val="24"/>
          </w:rPr>
          <w:t>Lei nº 12.846, de 2013</w:t>
        </w:r>
      </w:hyperlink>
      <w:r>
        <w:rPr>
          <w:rFonts w:ascii="Cambria" w:hAnsi="Cambria"/>
          <w:bCs/>
          <w:sz w:val="24"/>
          <w:szCs w:val="24"/>
        </w:rPr>
        <w:t>, serão apurados e julgados conjuntamente, nos mesmos autos, observados o rito procedimental e autoridade competente definidos na referida Lei (</w:t>
      </w:r>
      <w:hyperlink r:id="rId64" w:history="1">
        <w:r>
          <w:rPr>
            <w:rFonts w:ascii="Cambria" w:hAnsi="Cambria"/>
            <w:bCs/>
            <w:sz w:val="24"/>
            <w:szCs w:val="24"/>
          </w:rPr>
          <w:t>art. 159</w:t>
        </w:r>
      </w:hyperlink>
      <w:r>
        <w:rPr>
          <w:rFonts w:ascii="Cambria" w:hAnsi="Cambria"/>
          <w:bCs/>
          <w:sz w:val="24"/>
          <w:szCs w:val="24"/>
        </w:rPr>
        <w:t>).</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 personalidade jurídica do Contratado poderá ser desconsiderada sempre que utilizada com abuso do direito para facilitar, encobrir ou dissimular a prática dos atos ilícitos </w:t>
      </w:r>
      <w:r>
        <w:rPr>
          <w:rFonts w:ascii="Cambria" w:hAnsi="Cambria"/>
          <w:bCs/>
          <w:sz w:val="24"/>
          <w:szCs w:val="24"/>
        </w:rPr>
        <w:lastRenderedPageBreak/>
        <w:t>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5" w:anchor="art160" w:history="1">
        <w:r>
          <w:rPr>
            <w:rFonts w:ascii="Cambria" w:hAnsi="Cambria"/>
            <w:bCs/>
            <w:sz w:val="24"/>
            <w:szCs w:val="24"/>
          </w:rPr>
          <w:t>art. 160,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 O Contratante deverá, no prazo máximo 05 (CINCO)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6" w:anchor="art161" w:history="1">
        <w:r>
          <w:rPr>
            <w:rFonts w:ascii="Cambria" w:hAnsi="Cambria"/>
            <w:bCs/>
            <w:sz w:val="24"/>
            <w:szCs w:val="24"/>
          </w:rPr>
          <w:t>Art. 161, da Lei nº 14.133, de 2021</w:t>
        </w:r>
      </w:hyperlink>
      <w:r>
        <w:rPr>
          <w:rFonts w:ascii="Cambria" w:hAnsi="Cambria"/>
          <w:bCs/>
          <w:sz w:val="24"/>
          <w:szCs w:val="24"/>
        </w:rPr>
        <w:t>).</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As sanções de impedimento de licitar e contratar e declaração de inidoneidade para licitar ou contratar são passíveis de reabilitação na forma do </w:t>
      </w:r>
      <w:hyperlink r:id="rId67" w:anchor="163" w:history="1">
        <w:r>
          <w:rPr>
            <w:rFonts w:ascii="Cambria" w:hAnsi="Cambria"/>
            <w:bCs/>
            <w:sz w:val="24"/>
            <w:szCs w:val="24"/>
          </w:rPr>
          <w:t>art. 163 da Lei nº 14.133/21</w:t>
        </w:r>
      </w:hyperlink>
      <w:r>
        <w:rPr>
          <w:rFonts w:ascii="Cambria" w:hAnsi="Cambria"/>
          <w:bCs/>
          <w:sz w:val="24"/>
          <w:szCs w:val="24"/>
        </w:rPr>
        <w:t>.</w:t>
      </w:r>
    </w:p>
    <w:p>
      <w:pPr>
        <w:pStyle w:val="PargrafodaLista"/>
        <w:numPr>
          <w:ilvl w:val="2"/>
          <w:numId w:val="44"/>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pPr>
        <w:pStyle w:val="PargrafodaLista"/>
        <w:tabs>
          <w:tab w:val="left" w:pos="567"/>
          <w:tab w:val="left" w:pos="709"/>
          <w:tab w:val="left" w:pos="851"/>
          <w:tab w:val="left" w:pos="2525"/>
          <w:tab w:val="center" w:pos="4873"/>
        </w:tabs>
        <w:ind w:left="0"/>
        <w:jc w:val="both"/>
        <w:rPr>
          <w:rFonts w:ascii="Cambria" w:hAnsi="Cambria"/>
          <w:bCs/>
          <w:sz w:val="24"/>
          <w:szCs w:val="24"/>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line="276" w:lineRule="auto"/>
        <w:ind w:left="0" w:firstLine="0"/>
        <w:jc w:val="both"/>
        <w:rPr>
          <w:rFonts w:ascii="Cambria" w:hAnsi="Cambria"/>
          <w:b/>
          <w:sz w:val="24"/>
          <w:szCs w:val="24"/>
        </w:rPr>
      </w:pPr>
      <w:r>
        <w:rPr>
          <w:rFonts w:ascii="Cambria" w:hAnsi="Cambria"/>
          <w:b/>
          <w:sz w:val="24"/>
          <w:szCs w:val="24"/>
        </w:rPr>
        <w:t>DA EXTINÇÃO CONTRATUAL (</w:t>
      </w:r>
      <w:hyperlink r:id="rId68" w:anchor="art92" w:history="1">
        <w:r>
          <w:rPr>
            <w:rFonts w:ascii="Cambria" w:hAnsi="Cambria"/>
            <w:b/>
            <w:sz w:val="24"/>
            <w:szCs w:val="24"/>
          </w:rPr>
          <w:t>art. 92, XIX</w:t>
        </w:r>
      </w:hyperlink>
      <w:r>
        <w:rPr>
          <w:rFonts w:ascii="Cambria" w:hAnsi="Cambria"/>
          <w:b/>
          <w:sz w:val="24"/>
          <w:szCs w:val="24"/>
        </w:rPr>
        <w:t>)</w:t>
      </w:r>
    </w:p>
    <w:p>
      <w:pPr>
        <w:tabs>
          <w:tab w:val="left" w:pos="567"/>
          <w:tab w:val="left" w:pos="851"/>
          <w:tab w:val="left" w:pos="993"/>
          <w:tab w:val="center" w:pos="4873"/>
        </w:tabs>
        <w:jc w:val="both"/>
        <w:rPr>
          <w:rFonts w:ascii="Cambria" w:hAnsi="Cambria"/>
          <w:bCs/>
          <w:sz w:val="24"/>
          <w:szCs w:val="24"/>
        </w:rPr>
      </w:pPr>
      <w:r>
        <w:rPr>
          <w:rFonts w:ascii="Cambria" w:hAnsi="Cambria"/>
          <w:bCs/>
          <w:sz w:val="24"/>
          <w:szCs w:val="24"/>
        </w:rPr>
        <w:t>12.1. O contrato se extingue quando vencido o prazo nele estipulado, independentemente de terem sido cumpridas ou não as obrigações de ambas as partes contraentes.</w:t>
      </w:r>
      <w:r>
        <w:rPr>
          <w:rFonts w:ascii="Cambria" w:hAnsi="Cambria"/>
          <w:sz w:val="24"/>
          <w:szCs w:val="24"/>
        </w:rPr>
        <w:tab/>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12.1.1. O contrato pode ser extinto antes do prazo nele fixado, sem ônus para o Contratante, quando esta não dispuser de créditos orçamentários para sua continuidade ou quando entender que o contrato não mais lhe oferece vantagem.</w:t>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12.1.2. A extinção nesta hipótese ocorrerá na próxima data de aniversário do contrato, desde que haja a notificação do contratado pelo contratante nesse sentido com pelo menos 2 (dois) meses de antecedência desse dia.</w:t>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12.1.3. Caso a notificação da não-continuidade do contrato de que trata este subitem ocorra com menos de 2 (dois) meses da data de aniversário, a extinção contratual ocorrerá após 2 (dois) meses da data da comunicação.</w:t>
      </w:r>
    </w:p>
    <w:p>
      <w:pPr>
        <w:pStyle w:val="PargrafodaLista"/>
        <w:tabs>
          <w:tab w:val="left" w:pos="567"/>
          <w:tab w:val="left" w:pos="851"/>
          <w:tab w:val="left" w:pos="993"/>
          <w:tab w:val="center" w:pos="4873"/>
        </w:tabs>
        <w:ind w:left="0"/>
        <w:jc w:val="both"/>
        <w:rPr>
          <w:rFonts w:ascii="Cambria" w:hAnsi="Cambria"/>
          <w:bCs/>
          <w:sz w:val="24"/>
          <w:szCs w:val="24"/>
        </w:rPr>
      </w:pPr>
      <w:r>
        <w:rPr>
          <w:rFonts w:ascii="Cambria" w:hAnsi="Cambria"/>
          <w:bCs/>
          <w:sz w:val="24"/>
          <w:szCs w:val="24"/>
        </w:rPr>
        <w:t xml:space="preserve">12.2. O contrato pode ser extinto antes de cumpridas as obrigações nele estipuladas, ou antes do prazo nele fixado, por algum dos motivos previstos no </w:t>
      </w:r>
      <w:hyperlink r:id="rId69" w:anchor="art137" w:history="1">
        <w:r>
          <w:rPr>
            <w:rFonts w:ascii="Cambria" w:hAnsi="Cambria"/>
            <w:bCs/>
            <w:sz w:val="24"/>
            <w:szCs w:val="24"/>
          </w:rPr>
          <w:t>artigo 137 da Lei nº 14.133/21</w:t>
        </w:r>
      </w:hyperlink>
      <w:r>
        <w:rPr>
          <w:rFonts w:ascii="Cambria" w:hAnsi="Cambria"/>
          <w:bCs/>
          <w:sz w:val="24"/>
          <w:szCs w:val="24"/>
        </w:rPr>
        <w:t>, bem como amigavelmente, assegurados o contraditório e a ampla defesa.</w:t>
      </w:r>
    </w:p>
    <w:p>
      <w:pPr>
        <w:pStyle w:val="PargrafodaLista"/>
        <w:numPr>
          <w:ilvl w:val="2"/>
          <w:numId w:val="48"/>
        </w:numPr>
        <w:tabs>
          <w:tab w:val="left" w:pos="567"/>
          <w:tab w:val="left" w:pos="709"/>
          <w:tab w:val="left" w:pos="851"/>
          <w:tab w:val="left" w:pos="2525"/>
          <w:tab w:val="center" w:pos="4873"/>
        </w:tabs>
        <w:suppressAutoHyphens w:val="0"/>
        <w:spacing w:line="276" w:lineRule="auto"/>
        <w:jc w:val="both"/>
        <w:rPr>
          <w:rFonts w:ascii="Cambria" w:hAnsi="Cambria"/>
          <w:bCs/>
          <w:sz w:val="24"/>
          <w:szCs w:val="24"/>
        </w:rPr>
      </w:pPr>
      <w:r>
        <w:rPr>
          <w:rFonts w:ascii="Cambria" w:hAnsi="Cambria"/>
          <w:bCs/>
          <w:sz w:val="24"/>
          <w:szCs w:val="24"/>
        </w:rPr>
        <w:t xml:space="preserve">Nesta hipótese, aplicam-se também os </w:t>
      </w:r>
      <w:hyperlink r:id="rId70" w:anchor="art138" w:history="1">
        <w:r>
          <w:rPr>
            <w:rFonts w:ascii="Cambria" w:hAnsi="Cambria"/>
            <w:bCs/>
            <w:sz w:val="24"/>
            <w:szCs w:val="24"/>
          </w:rPr>
          <w:t>artigos 138 e 139 da mesma Lei</w:t>
        </w:r>
      </w:hyperlink>
      <w:r>
        <w:rPr>
          <w:rFonts w:ascii="Cambria" w:hAnsi="Cambria"/>
          <w:bCs/>
          <w:sz w:val="24"/>
          <w:szCs w:val="24"/>
        </w:rPr>
        <w:t>.</w:t>
      </w:r>
    </w:p>
    <w:p>
      <w:pPr>
        <w:pStyle w:val="PargrafodaLista"/>
        <w:tabs>
          <w:tab w:val="left" w:pos="567"/>
          <w:tab w:val="left" w:pos="709"/>
          <w:tab w:val="left" w:pos="851"/>
          <w:tab w:val="left" w:pos="2525"/>
          <w:tab w:val="center" w:pos="4873"/>
        </w:tabs>
        <w:ind w:left="0"/>
        <w:jc w:val="both"/>
        <w:rPr>
          <w:rFonts w:ascii="Cambria" w:hAnsi="Cambria"/>
          <w:bCs/>
          <w:sz w:val="24"/>
          <w:szCs w:val="24"/>
        </w:rPr>
      </w:pPr>
      <w:r>
        <w:rPr>
          <w:rFonts w:ascii="Cambria" w:hAnsi="Cambria"/>
          <w:bCs/>
          <w:sz w:val="24"/>
          <w:szCs w:val="24"/>
        </w:rPr>
        <w:t>12.2.2. A alteração social ou a modificação da finalidade ou da estrutura da empresa não ensejará a rescisão se não restringir sua capacidade de concluir o contrato.</w:t>
      </w:r>
    </w:p>
    <w:p>
      <w:pPr>
        <w:pStyle w:val="PargrafodaLista"/>
        <w:tabs>
          <w:tab w:val="left" w:pos="567"/>
          <w:tab w:val="left" w:pos="851"/>
          <w:tab w:val="left" w:pos="993"/>
          <w:tab w:val="left" w:pos="2525"/>
          <w:tab w:val="left" w:pos="3119"/>
          <w:tab w:val="center" w:pos="4873"/>
        </w:tabs>
        <w:ind w:left="0"/>
        <w:jc w:val="both"/>
        <w:rPr>
          <w:rFonts w:ascii="Cambria" w:hAnsi="Cambria"/>
          <w:bCs/>
          <w:sz w:val="24"/>
          <w:szCs w:val="24"/>
        </w:rPr>
      </w:pPr>
      <w:r>
        <w:rPr>
          <w:rFonts w:ascii="Cambria" w:hAnsi="Cambria"/>
          <w:bCs/>
          <w:sz w:val="24"/>
          <w:szCs w:val="24"/>
        </w:rPr>
        <w:t>12.2.2.1. Se a operação implicar mudança da pessoa jurídica contratada, deverá ser formalizado termo aditivo para alteração subjetiva.</w:t>
      </w:r>
    </w:p>
    <w:p>
      <w:pPr>
        <w:pStyle w:val="PargrafodaLista"/>
        <w:numPr>
          <w:ilvl w:val="1"/>
          <w:numId w:val="48"/>
        </w:numPr>
        <w:tabs>
          <w:tab w:val="left" w:pos="567"/>
          <w:tab w:val="left" w:pos="851"/>
          <w:tab w:val="left" w:pos="993"/>
          <w:tab w:val="center" w:pos="4873"/>
        </w:tabs>
        <w:suppressAutoHyphens w:val="0"/>
        <w:spacing w:line="276" w:lineRule="auto"/>
        <w:jc w:val="both"/>
        <w:rPr>
          <w:rFonts w:ascii="Cambria" w:hAnsi="Cambria"/>
          <w:bCs/>
          <w:sz w:val="24"/>
          <w:szCs w:val="24"/>
        </w:rPr>
      </w:pPr>
      <w:r>
        <w:rPr>
          <w:rFonts w:ascii="Cambria" w:hAnsi="Cambria"/>
          <w:bCs/>
          <w:sz w:val="24"/>
          <w:szCs w:val="24"/>
        </w:rPr>
        <w:t>O termo de rescisão, sempre que possível, será precedido:</w:t>
      </w:r>
    </w:p>
    <w:p>
      <w:pPr>
        <w:pStyle w:val="PargrafodaLista"/>
        <w:numPr>
          <w:ilvl w:val="2"/>
          <w:numId w:val="48"/>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Balanço dos eventos contratuais já cumpridos ou parcialmente cumpridos;</w:t>
      </w:r>
    </w:p>
    <w:p>
      <w:pPr>
        <w:pStyle w:val="PargrafodaLista"/>
        <w:numPr>
          <w:ilvl w:val="2"/>
          <w:numId w:val="48"/>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Relação dos pagamentos já efetuados e ainda devidos;</w:t>
      </w:r>
    </w:p>
    <w:p>
      <w:pPr>
        <w:pStyle w:val="PargrafodaLista"/>
        <w:numPr>
          <w:ilvl w:val="2"/>
          <w:numId w:val="48"/>
        </w:numPr>
        <w:tabs>
          <w:tab w:val="left" w:pos="567"/>
          <w:tab w:val="left" w:pos="709"/>
          <w:tab w:val="left" w:pos="851"/>
          <w:tab w:val="left" w:pos="2525"/>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lastRenderedPageBreak/>
        <w:t>Indenizações e multas.</w:t>
      </w:r>
    </w:p>
    <w:p>
      <w:pPr>
        <w:pStyle w:val="PargrafodaLista"/>
        <w:numPr>
          <w:ilvl w:val="1"/>
          <w:numId w:val="48"/>
        </w:numPr>
        <w:tabs>
          <w:tab w:val="left" w:pos="567"/>
          <w:tab w:val="left" w:pos="851"/>
          <w:tab w:val="left" w:pos="993"/>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extinção do contrato não configura óbice para o reconhecimento do desequilíbrio econômico-financeiro, hipótese em que será concedida indenização por meio de termo indenizatório (</w:t>
      </w:r>
      <w:hyperlink r:id="rId71" w:anchor="art131" w:history="1">
        <w:r>
          <w:rPr>
            <w:rFonts w:ascii="Cambria" w:hAnsi="Cambria"/>
            <w:bCs/>
            <w:sz w:val="24"/>
            <w:szCs w:val="24"/>
          </w:rPr>
          <w:t>art. 131, caput, da Lei n.º 14.133, de 2021</w:t>
        </w:r>
      </w:hyperlink>
      <w:r>
        <w:rPr>
          <w:rFonts w:ascii="Cambria" w:hAnsi="Cambria"/>
          <w:bCs/>
          <w:sz w:val="24"/>
          <w:szCs w:val="24"/>
        </w:rPr>
        <w:t xml:space="preserve">). </w:t>
      </w:r>
    </w:p>
    <w:p>
      <w:pPr>
        <w:pStyle w:val="PargrafodaLista"/>
        <w:numPr>
          <w:ilvl w:val="1"/>
          <w:numId w:val="48"/>
        </w:numPr>
        <w:tabs>
          <w:tab w:val="left" w:pos="567"/>
          <w:tab w:val="left" w:pos="851"/>
          <w:tab w:val="left" w:pos="993"/>
          <w:tab w:val="center" w:pos="4873"/>
        </w:tabs>
        <w:suppressAutoHyphens w:val="0"/>
        <w:spacing w:line="276" w:lineRule="auto"/>
        <w:ind w:left="0" w:firstLine="0"/>
        <w:jc w:val="both"/>
        <w:rPr>
          <w:rFonts w:ascii="Cambria" w:hAnsi="Cambria"/>
          <w:bCs/>
          <w:sz w:val="24"/>
          <w:szCs w:val="24"/>
        </w:rPr>
      </w:pPr>
      <w:r>
        <w:rPr>
          <w:rFonts w:ascii="Cambria" w:hAnsi="Cambria"/>
          <w:bCs/>
          <w:sz w:val="24"/>
          <w:szCs w:val="24"/>
        </w:rPr>
        <w:t>A dotação relativa aos exercícios financeiros subsequentes será indicada após aprovação da Lei Orçamentária respectiva e liberação dos créditos correspondentes, mediante apostilamento.</w:t>
      </w:r>
    </w:p>
    <w:p>
      <w:pPr>
        <w:pStyle w:val="PargrafodaLista"/>
        <w:tabs>
          <w:tab w:val="left" w:pos="567"/>
          <w:tab w:val="left" w:pos="851"/>
          <w:tab w:val="left" w:pos="993"/>
          <w:tab w:val="center" w:pos="4873"/>
        </w:tabs>
        <w:ind w:left="0"/>
        <w:jc w:val="both"/>
        <w:rPr>
          <w:rFonts w:ascii="Cambria" w:hAnsi="Cambria"/>
          <w:bCs/>
          <w:sz w:val="24"/>
          <w:szCs w:val="24"/>
        </w:rPr>
      </w:pPr>
    </w:p>
    <w:p>
      <w:pPr>
        <w:pStyle w:val="PargrafodaLista"/>
        <w:numPr>
          <w:ilvl w:val="0"/>
          <w:numId w:val="44"/>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uppressAutoHyphens w:val="0"/>
        <w:spacing w:after="200" w:line="276" w:lineRule="auto"/>
        <w:ind w:left="0" w:firstLine="0"/>
        <w:jc w:val="both"/>
        <w:rPr>
          <w:rFonts w:ascii="Cambria" w:hAnsi="Cambria"/>
          <w:b/>
          <w:sz w:val="24"/>
          <w:szCs w:val="24"/>
        </w:rPr>
      </w:pPr>
      <w:r>
        <w:rPr>
          <w:rFonts w:ascii="Cambria" w:hAnsi="Cambria"/>
          <w:b/>
          <w:sz w:val="24"/>
          <w:szCs w:val="24"/>
        </w:rPr>
        <w:t>DOS CASOS OMISSOS (</w:t>
      </w:r>
      <w:hyperlink r:id="rId72" w:anchor="art92" w:history="1">
        <w:r>
          <w:rPr>
            <w:rFonts w:ascii="Cambria" w:hAnsi="Cambria"/>
            <w:b/>
            <w:sz w:val="24"/>
            <w:szCs w:val="24"/>
          </w:rPr>
          <w:t>art. 92, III</w:t>
        </w:r>
      </w:hyperlink>
      <w:r>
        <w:rPr>
          <w:rFonts w:ascii="Cambria" w:hAnsi="Cambria"/>
          <w:b/>
          <w:sz w:val="24"/>
          <w:szCs w:val="24"/>
        </w:rPr>
        <w:t>)</w:t>
      </w:r>
    </w:p>
    <w:p>
      <w:pPr>
        <w:pStyle w:val="PargrafodaLista"/>
        <w:tabs>
          <w:tab w:val="left" w:pos="567"/>
          <w:tab w:val="left" w:pos="851"/>
          <w:tab w:val="left" w:pos="993"/>
          <w:tab w:val="center" w:pos="4873"/>
        </w:tabs>
        <w:ind w:left="0"/>
        <w:jc w:val="both"/>
        <w:rPr>
          <w:rFonts w:ascii="Cambria" w:hAnsi="Cambria"/>
          <w:bCs/>
          <w:sz w:val="24"/>
          <w:szCs w:val="24"/>
        </w:rPr>
      </w:pPr>
      <w:r>
        <w:rPr>
          <w:rFonts w:ascii="Cambria" w:hAnsi="Cambria"/>
          <w:bCs/>
          <w:sz w:val="24"/>
          <w:szCs w:val="24"/>
        </w:rPr>
        <w:t xml:space="preserve">13.1. Os casos omissos serão decididos pelo(s) órgão(s) demandante(s), segundo as disposições contidas na Lei </w:t>
      </w:r>
      <w:hyperlink r:id="rId73" w:history="1">
        <w:r>
          <w:rPr>
            <w:rFonts w:ascii="Cambria" w:hAnsi="Cambria"/>
            <w:bCs/>
            <w:sz w:val="24"/>
            <w:szCs w:val="24"/>
          </w:rPr>
          <w:t>nº 14.133, de 2021</w:t>
        </w:r>
      </w:hyperlink>
      <w:r>
        <w:rPr>
          <w:rFonts w:ascii="Cambria" w:hAnsi="Cambria"/>
          <w:bCs/>
          <w:sz w:val="24"/>
          <w:szCs w:val="24"/>
        </w:rPr>
        <w:t>, nos regulamentos e normas locais específicas, nas normas federais aplicáveis e, subsidiariamente, pelas normas e princípios gerais em Direito Admitidas.</w:t>
      </w:r>
    </w:p>
    <w:p>
      <w:pPr>
        <w:jc w:val="both"/>
        <w:rPr>
          <w:rFonts w:ascii="Cambria" w:hAnsi="Cambria" w:cstheme="majorHAnsi"/>
          <w:sz w:val="24"/>
          <w:szCs w:val="24"/>
        </w:rPr>
      </w:pPr>
    </w:p>
    <w:p>
      <w:pPr>
        <w:spacing w:line="259" w:lineRule="auto"/>
        <w:rPr>
          <w:rFonts w:ascii="Cambria" w:hAnsi="Cambria" w:cstheme="majorHAnsi"/>
          <w:b/>
          <w:sz w:val="24"/>
          <w:szCs w:val="24"/>
        </w:rPr>
      </w:pPr>
    </w:p>
    <w:p>
      <w:pPr>
        <w:jc w:val="center"/>
        <w:rPr>
          <w:rFonts w:ascii="Cambria" w:hAnsi="Cambria" w:cstheme="majorHAnsi"/>
          <w:b/>
          <w:sz w:val="24"/>
          <w:szCs w:val="24"/>
        </w:rPr>
      </w:pPr>
      <w:r>
        <w:rPr>
          <w:rFonts w:ascii="Cambria" w:hAnsi="Cambria" w:cstheme="majorHAnsi"/>
          <w:b/>
          <w:sz w:val="24"/>
          <w:szCs w:val="24"/>
        </w:rPr>
        <w:br w:type="page"/>
      </w:r>
      <w:r>
        <w:rPr>
          <w:rFonts w:ascii="Cambria" w:hAnsi="Cambria" w:cstheme="majorHAnsi"/>
          <w:b/>
          <w:sz w:val="24"/>
          <w:szCs w:val="24"/>
        </w:rPr>
        <w:lastRenderedPageBreak/>
        <w:t>ANEXO I</w:t>
      </w:r>
    </w:p>
    <w:p>
      <w:pPr>
        <w:pStyle w:val="PargrafodaLista"/>
        <w:tabs>
          <w:tab w:val="left" w:pos="284"/>
        </w:tabs>
        <w:ind w:left="0"/>
        <w:rPr>
          <w:rFonts w:ascii="Cambria" w:hAnsi="Cambria" w:cstheme="majorHAnsi"/>
          <w:b/>
          <w:sz w:val="24"/>
          <w:szCs w:val="24"/>
        </w:rPr>
      </w:pPr>
      <w:r>
        <w:rPr>
          <w:rFonts w:ascii="Cambria" w:hAnsi="Cambria" w:cstheme="majorHAnsi"/>
          <w:b/>
          <w:sz w:val="24"/>
          <w:szCs w:val="24"/>
        </w:rPr>
        <w:t>1. DOS ITENS/LOTES:</w:t>
      </w:r>
    </w:p>
    <w:p>
      <w:pPr>
        <w:pStyle w:val="PargrafodaLista"/>
        <w:tabs>
          <w:tab w:val="left" w:pos="284"/>
        </w:tabs>
        <w:autoSpaceDE w:val="0"/>
        <w:autoSpaceDN w:val="0"/>
        <w:adjustRightInd w:val="0"/>
        <w:ind w:left="0"/>
        <w:jc w:val="both"/>
        <w:rPr>
          <w:rFonts w:ascii="Cambria" w:hAnsi="Cambria" w:cstheme="majorHAnsi"/>
          <w:bCs/>
          <w:sz w:val="24"/>
          <w:szCs w:val="24"/>
        </w:rPr>
      </w:pPr>
      <w:r>
        <w:rPr>
          <w:rFonts w:ascii="Cambria" w:hAnsi="Cambria" w:cstheme="majorHAnsi"/>
          <w:bCs/>
          <w:sz w:val="24"/>
          <w:szCs w:val="24"/>
        </w:rPr>
        <w:t xml:space="preserve">1.1. </w:t>
      </w:r>
      <w:r>
        <w:rPr>
          <w:rFonts w:ascii="Cambria" w:hAnsi="Cambria" w:cstheme="majorHAnsi"/>
          <w:b/>
          <w:sz w:val="24"/>
          <w:szCs w:val="24"/>
        </w:rPr>
        <w:t>Justificativa quanto ao quantitativo:</w:t>
      </w:r>
      <w:r>
        <w:rPr>
          <w:rFonts w:ascii="Cambria" w:hAnsi="Cambria" w:cstheme="majorHAnsi"/>
          <w:bCs/>
          <w:sz w:val="24"/>
          <w:szCs w:val="24"/>
        </w:rPr>
        <w:t xml:space="preserve"> A definição dos quantitativos deu-se com base em levantamento pautado pelo histórico de utilização de exercícios anteriores e/ou em consonância com as necessidades das possíveis contratação prospectadas a longo prazo de vigência contratual, estipuladas por este(s) órgãos(s).</w:t>
      </w:r>
    </w:p>
    <w:p>
      <w:pPr>
        <w:pStyle w:val="PargrafodaLista"/>
        <w:tabs>
          <w:tab w:val="left" w:pos="284"/>
        </w:tabs>
        <w:autoSpaceDE w:val="0"/>
        <w:autoSpaceDN w:val="0"/>
        <w:adjustRightInd w:val="0"/>
        <w:ind w:left="0"/>
        <w:jc w:val="both"/>
        <w:rPr>
          <w:rFonts w:ascii="Cambria" w:hAnsi="Cambria" w:cstheme="majorHAnsi"/>
          <w:bCs/>
          <w:sz w:val="24"/>
          <w:szCs w:val="24"/>
        </w:rPr>
      </w:pPr>
      <w:r>
        <w:rPr>
          <w:rFonts w:ascii="Cambria" w:hAnsi="Cambria" w:cstheme="majorHAnsi"/>
          <w:bCs/>
          <w:sz w:val="24"/>
          <w:szCs w:val="24"/>
        </w:rPr>
        <w:t>1.2. Os quantitativos totais estipulados, bem como, a definição dos parâmetros e quantitativos para efeitos de formulação de proposta de preços constam do Anexo I deste Projeto Básico/Termo de Referência.</w:t>
      </w:r>
    </w:p>
    <w:p>
      <w:pPr>
        <w:pStyle w:val="PargrafodaLista"/>
        <w:tabs>
          <w:tab w:val="left" w:pos="284"/>
        </w:tabs>
        <w:autoSpaceDE w:val="0"/>
        <w:autoSpaceDN w:val="0"/>
        <w:adjustRightInd w:val="0"/>
        <w:ind w:left="0"/>
        <w:rPr>
          <w:rFonts w:ascii="Cambria" w:hAnsi="Cambria" w:cstheme="majorHAnsi"/>
          <w:b/>
          <w:sz w:val="24"/>
          <w:szCs w:val="24"/>
        </w:rPr>
      </w:pPr>
    </w:p>
    <w:p>
      <w:pPr>
        <w:tabs>
          <w:tab w:val="left" w:pos="284"/>
        </w:tabs>
        <w:autoSpaceDE w:val="0"/>
        <w:autoSpaceDN w:val="0"/>
        <w:adjustRightInd w:val="0"/>
        <w:jc w:val="both"/>
        <w:rPr>
          <w:rFonts w:ascii="Cambria" w:hAnsi="Cambria" w:cstheme="majorHAnsi"/>
          <w:b/>
          <w:sz w:val="24"/>
          <w:szCs w:val="24"/>
        </w:rPr>
      </w:pPr>
      <w:r>
        <w:rPr>
          <w:rFonts w:ascii="Cambria" w:hAnsi="Cambria" w:cstheme="majorHAnsi"/>
          <w:b/>
          <w:sz w:val="24"/>
          <w:szCs w:val="24"/>
        </w:rPr>
        <w:t>A) DOS QUANTITATIVOS TOTAIS DA LICITAÇÃO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4885"/>
        <w:gridCol w:w="1073"/>
        <w:gridCol w:w="698"/>
        <w:gridCol w:w="993"/>
        <w:gridCol w:w="1275"/>
      </w:tblGrid>
      <w:tr>
        <w:trPr>
          <w:trHeight w:val="279"/>
          <w:jc w:val="center"/>
        </w:trPr>
        <w:tc>
          <w:tcPr>
            <w:tcW w:w="710"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ITEM</w:t>
            </w:r>
          </w:p>
        </w:tc>
        <w:tc>
          <w:tcPr>
            <w:tcW w:w="4885" w:type="dxa"/>
            <w:shd w:val="clear" w:color="auto" w:fill="000099"/>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DESCRIÇÃO</w:t>
            </w:r>
          </w:p>
        </w:tc>
        <w:tc>
          <w:tcPr>
            <w:tcW w:w="1073"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UNID</w:t>
            </w:r>
          </w:p>
        </w:tc>
        <w:tc>
          <w:tcPr>
            <w:tcW w:w="698"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QTD</w:t>
            </w:r>
          </w:p>
        </w:tc>
        <w:tc>
          <w:tcPr>
            <w:tcW w:w="993" w:type="dxa"/>
            <w:shd w:val="clear" w:color="auto" w:fill="000099"/>
            <w:noWrap/>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VALOR MÉDIO</w:t>
            </w:r>
          </w:p>
        </w:tc>
        <w:tc>
          <w:tcPr>
            <w:tcW w:w="1275" w:type="dxa"/>
            <w:shd w:val="clear" w:color="auto" w:fill="000099"/>
            <w:vAlign w:val="center"/>
          </w:tcPr>
          <w:p>
            <w:pPr>
              <w:jc w:val="center"/>
              <w:rPr>
                <w:rFonts w:ascii="Cambria" w:eastAsia="Times New Roman" w:hAnsi="Cambria" w:cstheme="majorHAnsi"/>
                <w:b/>
                <w:bCs/>
                <w:color w:val="FFFFFF" w:themeColor="background1"/>
                <w:sz w:val="18"/>
                <w:szCs w:val="18"/>
              </w:rPr>
            </w:pPr>
            <w:r>
              <w:rPr>
                <w:rFonts w:ascii="Cambria" w:eastAsia="Times New Roman" w:hAnsi="Cambria" w:cstheme="majorHAnsi"/>
                <w:b/>
                <w:bCs/>
                <w:color w:val="FFFFFF" w:themeColor="background1"/>
                <w:sz w:val="18"/>
                <w:szCs w:val="18"/>
              </w:rPr>
              <w:t>VALOR TOTAL</w:t>
            </w:r>
          </w:p>
        </w:tc>
      </w:tr>
      <w:tr>
        <w:trPr>
          <w:trHeight w:val="557"/>
          <w:jc w:val="center"/>
        </w:trPr>
        <w:tc>
          <w:tcPr>
            <w:tcW w:w="710"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lang w:val="pt-PT" w:eastAsia="zh-CN"/>
              </w:rPr>
              <w:t>1</w:t>
            </w:r>
          </w:p>
        </w:tc>
        <w:tc>
          <w:tcPr>
            <w:tcW w:w="4885" w:type="dxa"/>
            <w:shd w:val="clear" w:color="000000" w:fill="FFFFFF"/>
            <w:vAlign w:val="center"/>
            <w:hideMark/>
          </w:tcPr>
          <w:p>
            <w:pPr>
              <w:jc w:val="both"/>
              <w:rPr>
                <w:rFonts w:ascii="Cambria" w:eastAsia="Times New Roman" w:hAnsi="Cambria" w:cstheme="majorHAnsi"/>
                <w:color w:val="000000"/>
                <w:sz w:val="18"/>
                <w:szCs w:val="18"/>
              </w:rPr>
            </w:pPr>
            <w:r>
              <w:rPr>
                <w:rFonts w:ascii="Cambria" w:hAnsi="Cambria"/>
                <w:sz w:val="18"/>
                <w:szCs w:val="18"/>
              </w:rPr>
              <w:t>RECARGA DE TONER PARA IMPRESSORA SAMSUNG XPRESS M2020</w:t>
            </w:r>
          </w:p>
        </w:tc>
        <w:tc>
          <w:tcPr>
            <w:tcW w:w="1073"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rPr>
              <w:t>RECARGA</w:t>
            </w:r>
          </w:p>
        </w:tc>
        <w:tc>
          <w:tcPr>
            <w:tcW w:w="698" w:type="dxa"/>
            <w:shd w:val="clear" w:color="000000" w:fill="FFFFFF"/>
            <w:noWrap/>
            <w:vAlign w:val="center"/>
            <w:hideMark/>
          </w:tcPr>
          <w:p>
            <w:pPr>
              <w:jc w:val="center"/>
              <w:rPr>
                <w:rFonts w:ascii="Cambria" w:eastAsia="Times New Roman" w:hAnsi="Cambria" w:cstheme="majorHAnsi"/>
                <w:color w:val="000000"/>
                <w:sz w:val="18"/>
                <w:szCs w:val="18"/>
              </w:rPr>
            </w:pPr>
            <w:r>
              <w:rPr>
                <w:rFonts w:ascii="Cambria" w:hAnsi="Cambria"/>
                <w:sz w:val="18"/>
                <w:szCs w:val="18"/>
              </w:rPr>
              <w:t>120</w:t>
            </w:r>
          </w:p>
        </w:tc>
        <w:tc>
          <w:tcPr>
            <w:tcW w:w="993" w:type="dxa"/>
            <w:shd w:val="clear" w:color="9FC5E8" w:fill="FFFFFF"/>
            <w:noWrap/>
            <w:vAlign w:val="center"/>
          </w:tcPr>
          <w:p>
            <w:pPr>
              <w:jc w:val="center"/>
              <w:rPr>
                <w:rFonts w:ascii="Cambria" w:eastAsia="Times New Roman" w:hAnsi="Cambria" w:cstheme="majorHAnsi"/>
                <w:color w:val="000000"/>
                <w:sz w:val="18"/>
                <w:szCs w:val="18"/>
                <w:highlight w:val="yellow"/>
              </w:rPr>
            </w:pPr>
            <w:r>
              <w:rPr>
                <w:rFonts w:ascii="Cambria" w:hAnsi="Cambria"/>
                <w:spacing w:val="-2"/>
                <w:sz w:val="18"/>
                <w:szCs w:val="18"/>
              </w:rPr>
              <w:t>R$ 96,26</w:t>
            </w:r>
          </w:p>
        </w:tc>
        <w:tc>
          <w:tcPr>
            <w:tcW w:w="1275" w:type="dxa"/>
            <w:shd w:val="clear" w:color="9FC5E8" w:fill="FFFFFF"/>
            <w:noWrap/>
            <w:vAlign w:val="center"/>
          </w:tcPr>
          <w:p>
            <w:pPr>
              <w:jc w:val="center"/>
              <w:rPr>
                <w:rFonts w:ascii="Cambria" w:eastAsia="Times New Roman" w:hAnsi="Cambria" w:cstheme="majorHAnsi"/>
                <w:color w:val="000000"/>
                <w:sz w:val="18"/>
                <w:szCs w:val="18"/>
                <w:highlight w:val="yellow"/>
              </w:rPr>
            </w:pPr>
            <w:r>
              <w:rPr>
                <w:rFonts w:ascii="Cambria" w:hAnsi="Cambria"/>
                <w:spacing w:val="-2"/>
                <w:sz w:val="18"/>
                <w:szCs w:val="18"/>
              </w:rPr>
              <w:t>R$ 11.551,20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2</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TONER PARA IMPRESSORA XEROX B205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780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R$ 81,46</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R$ 63.538,80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3</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TONER PARA IMPRESSORA XEROX B215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120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R$ 81,46</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R$ 9.775,20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4</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TONER PARA IMPRESSORA RICOH SP377SFNWX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180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R$ 74,97</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R$ 13.494,60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5</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RECARGA DE TONER PARA IMPRESSORA PANTUM BM5100FDW</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120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R$ 73,30</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R$ 8.796,00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6</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TONER PARA IMPRESSORA BROTHER DCP7065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60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R$ 85,80</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R$ 5.148,00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7</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RECARGA DE TONER PARA IMPRESSORA BROTHER HL1212W</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60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R$ 85,80</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R$ 5.148,00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8</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TINTA PARA IMPRESSORA EPSON ECOTANK L3250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180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R$ 85,63</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R$ 15.413,40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9</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TINTA PARA IMPRESSORA EPSON ECOTANK L396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60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R$ 81,04</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R$ 4.862,40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10</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TONER PARA IMPRESSORA HP LASERJET PRO MFP 4103FDW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420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118,50</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49.770,00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11</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RECARGA DE TINTA PARA IMPRESSORA EPSON L4360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RECARGA</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1320</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93,03</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122.799,60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12</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SAMSUNG XPRESS M2020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8</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R$ 109,67</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R$ 877,36</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13</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XEROX B205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52</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R$ 99,33</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R$ 5.165,16</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14</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RICOH SP377SFNWX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12</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R$ 136,63</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R$ 1.639,56</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15</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PANTUM BM5100FDW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8</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R$ 106,16</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R$ 849,28</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16</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BROTHER DCP7065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4</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R$ 146,67</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R$ 586,68</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lastRenderedPageBreak/>
              <w:t>17</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BROTHER HL1212W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4</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R$ 106,67</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R$ 426,68</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18</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EPSON ECOTANK L3250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12</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R$ 112,13</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R$ 1.345,56</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19</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EPSON ECOTANK L396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4</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114,22</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456,88</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20</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HP LASERJET PRO MFP 4103FDW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28</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163,30</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4.572,40</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21</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EPSON L4360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88</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156,67</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 xml:space="preserve">R$ </w:t>
            </w:r>
            <w:r>
              <w:rPr>
                <w:rFonts w:ascii="Cambria" w:hAnsi="Cambria"/>
                <w:sz w:val="18"/>
                <w:szCs w:val="18"/>
              </w:rPr>
              <w:t>13.786,96</w:t>
            </w:r>
          </w:p>
        </w:tc>
      </w:tr>
      <w:tr>
        <w:trPr>
          <w:trHeight w:val="557"/>
          <w:jc w:val="center"/>
        </w:trPr>
        <w:tc>
          <w:tcPr>
            <w:tcW w:w="710" w:type="dxa"/>
            <w:shd w:val="clear" w:color="000000" w:fill="FFFFFF"/>
            <w:noWrap/>
            <w:vAlign w:val="center"/>
          </w:tcPr>
          <w:p>
            <w:pPr>
              <w:jc w:val="center"/>
              <w:rPr>
                <w:rFonts w:ascii="Cambria" w:hAnsi="Cambria"/>
                <w:sz w:val="18"/>
                <w:szCs w:val="18"/>
              </w:rPr>
            </w:pPr>
            <w:r>
              <w:rPr>
                <w:rFonts w:ascii="Cambria" w:hAnsi="Cambria"/>
                <w:sz w:val="18"/>
                <w:szCs w:val="18"/>
                <w:lang w:val="pt-PT" w:eastAsia="zh-CN"/>
              </w:rPr>
              <w:t>22</w:t>
            </w:r>
          </w:p>
        </w:tc>
        <w:tc>
          <w:tcPr>
            <w:tcW w:w="4885" w:type="dxa"/>
            <w:shd w:val="clear" w:color="000000" w:fill="FFFFFF"/>
            <w:vAlign w:val="center"/>
          </w:tcPr>
          <w:p>
            <w:pPr>
              <w:jc w:val="both"/>
              <w:rPr>
                <w:rFonts w:ascii="Cambria" w:hAnsi="Cambria"/>
                <w:sz w:val="18"/>
                <w:szCs w:val="18"/>
              </w:rPr>
            </w:pPr>
            <w:r>
              <w:rPr>
                <w:rFonts w:ascii="Cambria" w:hAnsi="Cambria"/>
                <w:sz w:val="18"/>
                <w:szCs w:val="18"/>
              </w:rPr>
              <w:t xml:space="preserve">SERVIÇO DE MANUTENÇÃO PREVENTIVA E CORRETIVA PARA IMPRESSORA XEROX B215 </w:t>
            </w:r>
          </w:p>
        </w:tc>
        <w:tc>
          <w:tcPr>
            <w:tcW w:w="1073" w:type="dxa"/>
            <w:shd w:val="clear" w:color="000000" w:fill="FFFFFF"/>
            <w:noWrap/>
            <w:vAlign w:val="center"/>
          </w:tcPr>
          <w:p>
            <w:pPr>
              <w:jc w:val="center"/>
              <w:rPr>
                <w:rFonts w:ascii="Cambria" w:hAnsi="Cambria"/>
                <w:sz w:val="18"/>
                <w:szCs w:val="18"/>
              </w:rPr>
            </w:pPr>
            <w:r>
              <w:rPr>
                <w:rFonts w:ascii="Cambria" w:hAnsi="Cambria"/>
                <w:sz w:val="18"/>
                <w:szCs w:val="18"/>
              </w:rPr>
              <w:t>SERVIÇO</w:t>
            </w:r>
          </w:p>
        </w:tc>
        <w:tc>
          <w:tcPr>
            <w:tcW w:w="698" w:type="dxa"/>
            <w:shd w:val="clear" w:color="000000" w:fill="FFFFFF"/>
            <w:noWrap/>
            <w:vAlign w:val="center"/>
          </w:tcPr>
          <w:p>
            <w:pPr>
              <w:jc w:val="center"/>
              <w:rPr>
                <w:rFonts w:ascii="Cambria" w:hAnsi="Cambria"/>
                <w:sz w:val="18"/>
                <w:szCs w:val="18"/>
              </w:rPr>
            </w:pPr>
            <w:r>
              <w:rPr>
                <w:rFonts w:ascii="Cambria" w:hAnsi="Cambria"/>
                <w:sz w:val="18"/>
                <w:szCs w:val="18"/>
              </w:rPr>
              <w:t>8</w:t>
            </w:r>
          </w:p>
        </w:tc>
        <w:tc>
          <w:tcPr>
            <w:tcW w:w="993"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R$ 106,67</w:t>
            </w:r>
          </w:p>
        </w:tc>
        <w:tc>
          <w:tcPr>
            <w:tcW w:w="1275" w:type="dxa"/>
            <w:shd w:val="clear" w:color="9FC5E8" w:fill="FFFFFF"/>
            <w:noWrap/>
            <w:vAlign w:val="center"/>
          </w:tcPr>
          <w:p>
            <w:pPr>
              <w:jc w:val="center"/>
              <w:rPr>
                <w:rFonts w:ascii="Cambria" w:eastAsia="Times New Roman" w:hAnsi="Cambria" w:cstheme="majorHAnsi"/>
                <w:color w:val="000000"/>
                <w:sz w:val="18"/>
                <w:szCs w:val="18"/>
              </w:rPr>
            </w:pPr>
            <w:r>
              <w:rPr>
                <w:rFonts w:ascii="Cambria" w:hAnsi="Cambria"/>
                <w:spacing w:val="-2"/>
                <w:sz w:val="18"/>
                <w:szCs w:val="18"/>
              </w:rPr>
              <w:t>R$ 853,36</w:t>
            </w:r>
          </w:p>
        </w:tc>
      </w:tr>
      <w:tr>
        <w:trPr>
          <w:trHeight w:val="362"/>
          <w:jc w:val="center"/>
        </w:trPr>
        <w:tc>
          <w:tcPr>
            <w:tcW w:w="9634" w:type="dxa"/>
            <w:gridSpan w:val="6"/>
            <w:shd w:val="clear" w:color="000000" w:fill="FFFFFF"/>
            <w:noWrap/>
            <w:vAlign w:val="center"/>
            <w:hideMark/>
          </w:tcPr>
          <w:p>
            <w:pPr>
              <w:rPr>
                <w:rFonts w:ascii="Cambria" w:eastAsia="Times New Roman" w:hAnsi="Cambria" w:cstheme="majorHAnsi"/>
                <w:color w:val="000000"/>
                <w:sz w:val="18"/>
                <w:szCs w:val="18"/>
              </w:rPr>
            </w:pPr>
            <w:r>
              <w:rPr>
                <w:rFonts w:ascii="Cambria" w:eastAsia="Times New Roman" w:hAnsi="Cambria" w:cstheme="majorHAnsi"/>
                <w:b/>
                <w:bCs/>
                <w:color w:val="000000"/>
                <w:sz w:val="18"/>
                <w:szCs w:val="18"/>
              </w:rPr>
              <w:t>VALOR TOTAL DO LOTE:</w:t>
            </w:r>
            <w:r>
              <w:rPr>
                <w:rFonts w:ascii="Cambria" w:eastAsia="Times New Roman" w:hAnsi="Cambria" w:cstheme="majorHAnsi"/>
                <w:color w:val="000000"/>
                <w:sz w:val="18"/>
                <w:szCs w:val="18"/>
              </w:rPr>
              <w:t xml:space="preserve"> </w:t>
            </w:r>
            <w:r>
              <w:rPr>
                <w:rFonts w:ascii="Cambria" w:hAnsi="Cambria" w:cstheme="majorHAnsi"/>
                <w:b/>
                <w:bCs/>
                <w:color w:val="000000"/>
                <w:sz w:val="18"/>
                <w:szCs w:val="18"/>
              </w:rPr>
              <w:t>R$ 340.857,08 (trezentos e quarenta mil, oitocentos e cinquenta e sete reais e oito centavos).</w:t>
            </w:r>
          </w:p>
          <w:p>
            <w:pPr>
              <w:rPr>
                <w:rFonts w:ascii="Cambria" w:eastAsia="Times New Roman" w:hAnsi="Cambria" w:cstheme="majorHAnsi"/>
                <w:color w:val="000000"/>
                <w:sz w:val="18"/>
                <w:szCs w:val="18"/>
              </w:rPr>
            </w:pPr>
          </w:p>
        </w:tc>
      </w:tr>
    </w:tbl>
    <w:p>
      <w:pPr>
        <w:jc w:val="center"/>
        <w:rPr>
          <w:rFonts w:ascii="Cambria" w:hAnsi="Cambria" w:cstheme="majorHAnsi"/>
          <w:b/>
          <w:sz w:val="24"/>
          <w:szCs w:val="24"/>
        </w:rPr>
      </w:pPr>
      <w:r>
        <w:rPr>
          <w:rFonts w:ascii="Cambria" w:hAnsi="Cambria" w:cstheme="majorHAnsi"/>
          <w:sz w:val="24"/>
          <w:szCs w:val="24"/>
        </w:rPr>
        <w:br w:type="page"/>
      </w:r>
      <w:r>
        <w:rPr>
          <w:rFonts w:ascii="Cambria" w:hAnsi="Cambria" w:cstheme="majorHAnsi"/>
          <w:b/>
          <w:sz w:val="24"/>
          <w:szCs w:val="24"/>
        </w:rPr>
        <w:lastRenderedPageBreak/>
        <w:t>ANEXO II</w:t>
      </w:r>
    </w:p>
    <w:p>
      <w:pPr>
        <w:shd w:val="clear" w:color="auto" w:fill="000099"/>
        <w:jc w:val="center"/>
        <w:rPr>
          <w:rFonts w:ascii="Cambria" w:hAnsi="Cambria" w:cstheme="majorHAnsi"/>
          <w:b/>
          <w:sz w:val="24"/>
          <w:szCs w:val="24"/>
        </w:rPr>
      </w:pPr>
      <w:r>
        <w:rPr>
          <w:rFonts w:ascii="Cambria" w:hAnsi="Cambria" w:cstheme="majorHAnsi"/>
          <w:b/>
          <w:sz w:val="24"/>
          <w:szCs w:val="24"/>
        </w:rPr>
        <w:t>RELAÇÃO DOS DOCUMENTOS DE HABILITAÇÃO</w:t>
      </w:r>
    </w:p>
    <w:p>
      <w:pPr>
        <w:jc w:val="center"/>
        <w:rPr>
          <w:rFonts w:ascii="Cambria" w:hAnsi="Cambria" w:cstheme="majorHAnsi"/>
          <w:b/>
          <w:sz w:val="24"/>
          <w:szCs w:val="24"/>
        </w:rPr>
      </w:pPr>
    </w:p>
    <w:p>
      <w:pPr>
        <w:jc w:val="both"/>
        <w:rPr>
          <w:rFonts w:ascii="Cambria" w:hAnsi="Cambria" w:cstheme="majorHAnsi"/>
          <w:sz w:val="24"/>
          <w:szCs w:val="24"/>
        </w:rPr>
      </w:pPr>
      <w:r>
        <w:rPr>
          <w:rFonts w:ascii="Cambria" w:hAnsi="Cambria" w:cstheme="majorHAnsi"/>
          <w:sz w:val="24"/>
          <w:szCs w:val="24"/>
        </w:rPr>
        <w:t>Para fins de licitação, o(s) licitante(s) deverão comprovar o atendimento aos seguintes requisitos:</w:t>
      </w:r>
    </w:p>
    <w:p>
      <w:pPr>
        <w:pStyle w:val="PargrafodaLista"/>
        <w:numPr>
          <w:ilvl w:val="0"/>
          <w:numId w:val="49"/>
        </w:numPr>
        <w:tabs>
          <w:tab w:val="left" w:pos="284"/>
        </w:tabs>
        <w:suppressAutoHyphens w:val="0"/>
        <w:spacing w:line="276" w:lineRule="auto"/>
        <w:rPr>
          <w:rFonts w:ascii="Cambria" w:hAnsi="Cambria" w:cstheme="majorHAnsi"/>
          <w:b/>
          <w:bCs/>
          <w:sz w:val="24"/>
          <w:szCs w:val="24"/>
        </w:rPr>
      </w:pPr>
      <w:r>
        <w:rPr>
          <w:rFonts w:ascii="Cambria" w:hAnsi="Cambria" w:cstheme="majorHAnsi"/>
          <w:b/>
          <w:bCs/>
          <w:sz w:val="24"/>
          <w:szCs w:val="24"/>
        </w:rPr>
        <w:t>Habilitação jurídica</w:t>
      </w:r>
    </w:p>
    <w:p>
      <w:pPr>
        <w:tabs>
          <w:tab w:val="left" w:pos="284"/>
        </w:tabs>
        <w:jc w:val="both"/>
        <w:rPr>
          <w:rFonts w:ascii="Cambria" w:hAnsi="Cambria" w:cstheme="majorHAnsi"/>
          <w:sz w:val="24"/>
          <w:szCs w:val="24"/>
        </w:rPr>
      </w:pPr>
      <w:r>
        <w:rPr>
          <w:rFonts w:ascii="Cambria" w:hAnsi="Cambria" w:cstheme="majorHAnsi"/>
          <w:sz w:val="24"/>
          <w:szCs w:val="24"/>
        </w:rPr>
        <w:t xml:space="preserve">A habilitação jurídica visa a demonstrar a capacidade de o licitante exercer direitos e assumir obrigações, e a documentação a ser apresentada por ele limita-se à </w:t>
      </w:r>
      <w:r>
        <w:rPr>
          <w:rFonts w:ascii="Cambria" w:hAnsi="Cambria" w:cstheme="majorHAnsi"/>
          <w:b/>
          <w:bCs/>
          <w:sz w:val="24"/>
          <w:szCs w:val="24"/>
        </w:rPr>
        <w:t>comprovação de existência jurídica da pessoa</w:t>
      </w:r>
      <w:r>
        <w:rPr>
          <w:rFonts w:ascii="Cambria" w:hAnsi="Cambria" w:cstheme="majorHAnsi"/>
          <w:sz w:val="24"/>
          <w:szCs w:val="24"/>
        </w:rPr>
        <w:t xml:space="preserve"> e, quando cabível, de autorização para o exercício da atividade a ser contratada (Art. 66 da Lei Federal nº 14.133/21), devendo ser observado e apresentado, se for:</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Pessoa física: cédula de identidade (RG) ou documento equivalente que, por força de lei, tenha validade para fins de identificação em todo o território nacional;</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 xml:space="preserve">Empresário individual: inscrição no Registro Público de Empresas Mercantis, a cargo da Junta Comercial da respectiva sede; </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 xml:space="preserve">Microempreendedor Individual - MEI: Certificado da Condição de Microempreendedor Individual - CCMEI, cuja aceitação ficará condicionada à verificação da autenticidade no sítio https://www.gov.br/empresas-e-negocios/pt-br/empreendedor; </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simples: inscrição do ato constitutivo no Registro Civil de Pessoas Jurídicas do local de sua sede, acompanhada de documento comprobatório de seus administradores;</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Ato de autorização para o exercício da atividade.</w:t>
      </w:r>
    </w:p>
    <w:p>
      <w:pPr>
        <w:pStyle w:val="PargrafodaLista"/>
        <w:tabs>
          <w:tab w:val="left" w:pos="567"/>
          <w:tab w:val="left" w:pos="851"/>
          <w:tab w:val="left" w:pos="2525"/>
          <w:tab w:val="center" w:pos="4873"/>
        </w:tabs>
        <w:ind w:left="0"/>
        <w:jc w:val="both"/>
        <w:rPr>
          <w:rFonts w:ascii="Cambria" w:hAnsi="Cambria" w:cstheme="majorHAnsi"/>
          <w:bCs/>
          <w:sz w:val="24"/>
          <w:szCs w:val="24"/>
        </w:rPr>
      </w:pPr>
    </w:p>
    <w:p>
      <w:pPr>
        <w:pStyle w:val="PargrafodaLista"/>
        <w:tabs>
          <w:tab w:val="left" w:pos="567"/>
          <w:tab w:val="left" w:pos="851"/>
          <w:tab w:val="left" w:pos="2525"/>
          <w:tab w:val="center" w:pos="4873"/>
        </w:tabs>
        <w:ind w:left="0"/>
        <w:jc w:val="both"/>
        <w:rPr>
          <w:rFonts w:ascii="Cambria" w:hAnsi="Cambria" w:cstheme="majorHAnsi"/>
          <w:b/>
          <w:sz w:val="24"/>
          <w:szCs w:val="24"/>
        </w:rPr>
      </w:pPr>
      <w:r>
        <w:rPr>
          <w:rFonts w:ascii="Cambria" w:hAnsi="Cambria" w:cstheme="majorHAnsi"/>
          <w:b/>
          <w:sz w:val="24"/>
          <w:szCs w:val="24"/>
        </w:rPr>
        <w:t>Os documentos apresentados deverão estar acompanhados de todas as alterações ou da consolidação respectiva.</w:t>
      </w:r>
    </w:p>
    <w:p>
      <w:pPr>
        <w:pStyle w:val="PargrafodaLista"/>
        <w:tabs>
          <w:tab w:val="left" w:pos="567"/>
          <w:tab w:val="left" w:pos="851"/>
          <w:tab w:val="left" w:pos="2525"/>
          <w:tab w:val="center" w:pos="4873"/>
        </w:tabs>
        <w:ind w:left="0"/>
        <w:jc w:val="both"/>
        <w:rPr>
          <w:rFonts w:ascii="Cambria" w:hAnsi="Cambria" w:cstheme="majorHAnsi"/>
          <w:b/>
          <w:sz w:val="24"/>
          <w:szCs w:val="24"/>
        </w:rPr>
      </w:pPr>
    </w:p>
    <w:p>
      <w:pPr>
        <w:pStyle w:val="PargrafodaLista"/>
        <w:numPr>
          <w:ilvl w:val="0"/>
          <w:numId w:val="49"/>
        </w:numPr>
        <w:tabs>
          <w:tab w:val="left" w:pos="284"/>
        </w:tabs>
        <w:suppressAutoHyphens w:val="0"/>
        <w:spacing w:line="276" w:lineRule="auto"/>
        <w:rPr>
          <w:rFonts w:ascii="Cambria" w:hAnsi="Cambria" w:cstheme="majorHAnsi"/>
          <w:b/>
          <w:bCs/>
          <w:sz w:val="24"/>
          <w:szCs w:val="24"/>
        </w:rPr>
      </w:pPr>
      <w:r>
        <w:rPr>
          <w:rFonts w:ascii="Cambria" w:hAnsi="Cambria" w:cstheme="majorHAnsi"/>
          <w:b/>
          <w:bCs/>
          <w:sz w:val="24"/>
          <w:szCs w:val="24"/>
        </w:rPr>
        <w:t>Habilitação fiscal, social e trabalhista</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lastRenderedPageBreak/>
        <w:t>Prova de inscrição no Cadastro Nacional de Pessoas Jurídicas (CNPJ);</w:t>
      </w:r>
      <w:bookmarkStart w:id="76" w:name="art68ii"/>
      <w:bookmarkEnd w:id="76"/>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inscrição no cadastro de contribuintes estadual e/ou municipal, se houver, relativo ao domicílio ou sede do licitante, pertinente ao seu ramo de atividade e compatível com o objeto contratual</w:t>
      </w:r>
      <w:bookmarkStart w:id="77" w:name="art68iii"/>
      <w:bookmarkEnd w:id="77"/>
      <w:r>
        <w:rPr>
          <w:rFonts w:ascii="Cambria" w:hAnsi="Cambria" w:cstheme="majorHAnsi"/>
          <w:bCs/>
          <w:sz w:val="24"/>
          <w:szCs w:val="24"/>
        </w:rPr>
        <w:t>;</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regularidade com a Fazenda federal, estadual e municipal do domicílio ou sede do licitante, ou outra equivalente, na forma da lei</w:t>
      </w:r>
      <w:bookmarkStart w:id="78" w:name="art68iv"/>
      <w:bookmarkEnd w:id="78"/>
      <w:r>
        <w:rPr>
          <w:rFonts w:ascii="Cambria" w:hAnsi="Cambria" w:cstheme="majorHAnsi"/>
          <w:bCs/>
          <w:sz w:val="24"/>
          <w:szCs w:val="24"/>
        </w:rPr>
        <w:t>;</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regularidade relativa à Seguridade Social e ao FGTS, que demonstre cumprimento dos encargos sociais instituídos por lei;</w:t>
      </w:r>
      <w:bookmarkStart w:id="79" w:name="art68v"/>
      <w:bookmarkEnd w:id="79"/>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Prova de regularidade perante a Justiça do Trabalho (Mediante a apresentação de certidão negativa ou positiva com efeito de negativa, nos termos do Título VII-A da Consolidação das Leis do Trabalho, aprovada pelo Decreto-Lei nº 5.452, de 1º de maio de 1943).</w:t>
      </w:r>
      <w:bookmarkStart w:id="80" w:name="art68vi"/>
      <w:bookmarkEnd w:id="80"/>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Declaração quanto ao cumprimento do disposto no </w:t>
      </w:r>
      <w:hyperlink r:id="rId74" w:anchor="art7xxxiii" w:history="1">
        <w:r>
          <w:rPr>
            <w:rFonts w:ascii="Cambria" w:hAnsi="Cambria" w:cstheme="majorHAnsi"/>
            <w:bCs/>
            <w:sz w:val="24"/>
            <w:szCs w:val="24"/>
          </w:rPr>
          <w:t>inciso XXXIII do art. 7º da Constituição Federal (Esta declaração ficará dispensada em caso de procedimento eletrônico onde o proponente opte por assinalar a opção constante do sistema).</w:t>
        </w:r>
      </w:hyperlink>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pPr>
        <w:pStyle w:val="PargrafodaLista"/>
        <w:tabs>
          <w:tab w:val="left" w:pos="426"/>
        </w:tabs>
        <w:ind w:left="0"/>
        <w:jc w:val="both"/>
        <w:rPr>
          <w:rFonts w:ascii="Cambria" w:hAnsi="Cambria" w:cstheme="majorHAnsi"/>
          <w:bCs/>
          <w:sz w:val="24"/>
          <w:szCs w:val="24"/>
        </w:rPr>
      </w:pPr>
    </w:p>
    <w:p>
      <w:pPr>
        <w:pStyle w:val="PargrafodaLista"/>
        <w:numPr>
          <w:ilvl w:val="0"/>
          <w:numId w:val="49"/>
        </w:numPr>
        <w:tabs>
          <w:tab w:val="left" w:pos="284"/>
        </w:tabs>
        <w:suppressAutoHyphens w:val="0"/>
        <w:spacing w:line="276" w:lineRule="auto"/>
        <w:rPr>
          <w:rFonts w:ascii="Cambria" w:hAnsi="Cambria" w:cstheme="majorHAnsi"/>
          <w:b/>
          <w:bCs/>
          <w:sz w:val="24"/>
          <w:szCs w:val="24"/>
        </w:rPr>
      </w:pPr>
      <w:r>
        <w:rPr>
          <w:rFonts w:ascii="Cambria" w:hAnsi="Cambria" w:cstheme="majorHAnsi"/>
          <w:b/>
          <w:bCs/>
          <w:sz w:val="24"/>
          <w:szCs w:val="24"/>
        </w:rPr>
        <w:t>Qualificação Econômico-Financeira</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Balanço patrimonial, demonstração de resultado de exercício e demais demonstrações contábeis dos 2 (dois) últimos exercícios sociais (já exigíveis e apresentados na forma da lei, devidamente registrado no órgão competente de origem)</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pPr>
        <w:pStyle w:val="PargrafodaLista"/>
        <w:tabs>
          <w:tab w:val="left" w:pos="426"/>
        </w:tabs>
        <w:ind w:left="426"/>
        <w:jc w:val="both"/>
        <w:rPr>
          <w:rFonts w:ascii="Cambria" w:hAnsi="Cambria" w:cstheme="majorHAnsi"/>
          <w:bCs/>
          <w:sz w:val="24"/>
          <w:szCs w:val="24"/>
        </w:rPr>
      </w:pPr>
      <w:r>
        <w:rPr>
          <w:rFonts w:ascii="Cambria" w:hAnsi="Cambria" w:cstheme="majorHAnsi"/>
          <w:bCs/>
          <w:sz w:val="24"/>
          <w:szCs w:val="24"/>
        </w:rPr>
        <w:t>I - Liquidez Geral (LG) = (Ativo Circulante + Realizável a Longo Prazo)/( Passivo Circulante + Passivo Não Circulante);</w:t>
      </w:r>
    </w:p>
    <w:p>
      <w:pPr>
        <w:pStyle w:val="PargrafodaLista"/>
        <w:tabs>
          <w:tab w:val="left" w:pos="426"/>
        </w:tabs>
        <w:ind w:left="426"/>
        <w:jc w:val="both"/>
        <w:rPr>
          <w:rFonts w:ascii="Cambria" w:hAnsi="Cambria" w:cstheme="majorHAnsi"/>
          <w:bCs/>
          <w:sz w:val="24"/>
          <w:szCs w:val="24"/>
        </w:rPr>
      </w:pPr>
      <w:r>
        <w:rPr>
          <w:rFonts w:ascii="Cambria" w:hAnsi="Cambria" w:cstheme="majorHAnsi"/>
          <w:bCs/>
          <w:sz w:val="24"/>
          <w:szCs w:val="24"/>
        </w:rPr>
        <w:t>II - Solvência Geral (SG)= (Ativo Total)/(Passivo Circulante +Passivo não Circulante); e</w:t>
      </w:r>
    </w:p>
    <w:p>
      <w:pPr>
        <w:pStyle w:val="PargrafodaLista"/>
        <w:tabs>
          <w:tab w:val="left" w:pos="426"/>
        </w:tabs>
        <w:ind w:left="426"/>
        <w:jc w:val="both"/>
        <w:rPr>
          <w:rFonts w:ascii="Cambria" w:hAnsi="Cambria" w:cstheme="majorHAnsi"/>
          <w:bCs/>
          <w:sz w:val="24"/>
          <w:szCs w:val="24"/>
        </w:rPr>
      </w:pPr>
      <w:r>
        <w:rPr>
          <w:rFonts w:ascii="Cambria" w:hAnsi="Cambria" w:cstheme="majorHAnsi"/>
          <w:bCs/>
          <w:sz w:val="24"/>
          <w:szCs w:val="24"/>
        </w:rPr>
        <w:t>III - Liquidez Corrente (LC) = (Ativo Circulante)/(Passivo Circulante).</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Certidão negativa de feitos sobre falência expedida pelo distribuidor da sede do licitante ou, Certidão negativa de insolvência civil expedida pelo distribuidor do domicílio ou sede do licitante, caso se trate de pessoa física, desde que admitida a sua participação na licitação.</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Caso a empresa licitante apresente resultado inferior ou igual a 1 (um) em qualquer dos índices de Liquidez Geral (LG), Solvência Geral (SG) e Liquidez Corrente (LC), será exigido para fins de habilitação patrimônio líquido mínimo de 10% do valor total estimado do item/grupo que a licitante for sagrada vencedora.</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lastRenderedPageBreak/>
        <w:t>O balanço patrimonial, demonstração de resultado de exercício e demais demonstrações contábeis limitar-se-ão ao último exercício no caso de a pessoa jurídica ter sido constituída há menos de 2 (dois) anos. (Lei nº 14.133, de 2021, art. 69, §6º)</w:t>
      </w:r>
    </w:p>
    <w:p>
      <w:pPr>
        <w:pStyle w:val="PargrafodaLista"/>
        <w:numPr>
          <w:ilvl w:val="1"/>
          <w:numId w:val="49"/>
        </w:numPr>
        <w:tabs>
          <w:tab w:val="left" w:pos="426"/>
        </w:tabs>
        <w:suppressAutoHyphens w:val="0"/>
        <w:spacing w:after="200" w:line="276" w:lineRule="auto"/>
        <w:ind w:left="0" w:firstLine="0"/>
        <w:jc w:val="both"/>
        <w:rPr>
          <w:rFonts w:ascii="Cambria" w:hAnsi="Cambria" w:cstheme="majorHAnsi"/>
          <w:bCs/>
          <w:sz w:val="24"/>
          <w:szCs w:val="24"/>
        </w:rPr>
      </w:pPr>
      <w:r>
        <w:rPr>
          <w:rFonts w:ascii="Cambria" w:hAnsi="Cambria" w:cstheme="majorHAnsi"/>
          <w:bCs/>
          <w:sz w:val="24"/>
          <w:szCs w:val="24"/>
        </w:rPr>
        <w:t>O atendimento dos índices econômicos previstos neste item deverá ser atestado mediante declaração assinada por profissional habilitado da área contábil, apresentada pelo fornecedor.</w:t>
      </w:r>
    </w:p>
    <w:p>
      <w:pPr>
        <w:pStyle w:val="PargrafodaLista"/>
        <w:tabs>
          <w:tab w:val="left" w:pos="426"/>
        </w:tabs>
        <w:ind w:left="0"/>
        <w:jc w:val="both"/>
        <w:rPr>
          <w:rFonts w:ascii="Cambria" w:hAnsi="Cambria" w:cstheme="majorHAnsi"/>
          <w:bCs/>
          <w:sz w:val="24"/>
          <w:szCs w:val="24"/>
        </w:rPr>
      </w:pPr>
    </w:p>
    <w:p>
      <w:pPr>
        <w:pStyle w:val="PargrafodaLista"/>
        <w:numPr>
          <w:ilvl w:val="0"/>
          <w:numId w:val="49"/>
        </w:numPr>
        <w:tabs>
          <w:tab w:val="left" w:pos="426"/>
        </w:tabs>
        <w:suppressAutoHyphens w:val="0"/>
        <w:spacing w:line="276" w:lineRule="auto"/>
        <w:jc w:val="both"/>
        <w:rPr>
          <w:rFonts w:ascii="Cambria" w:hAnsi="Cambria" w:cstheme="majorHAnsi"/>
          <w:b/>
          <w:sz w:val="24"/>
          <w:szCs w:val="24"/>
        </w:rPr>
      </w:pPr>
      <w:r>
        <w:rPr>
          <w:rFonts w:ascii="Cambria" w:hAnsi="Cambria" w:cstheme="majorHAnsi"/>
          <w:b/>
          <w:sz w:val="24"/>
          <w:szCs w:val="24"/>
        </w:rPr>
        <w:t>Qualificação Técnica</w:t>
      </w:r>
    </w:p>
    <w:p>
      <w:pPr>
        <w:tabs>
          <w:tab w:val="left" w:pos="284"/>
        </w:tabs>
        <w:jc w:val="both"/>
        <w:rPr>
          <w:rFonts w:ascii="Cambria" w:hAnsi="Cambria" w:cstheme="majorHAnsi"/>
          <w:b/>
          <w:sz w:val="24"/>
          <w:szCs w:val="24"/>
        </w:rPr>
      </w:pPr>
      <w:r>
        <w:rPr>
          <w:rFonts w:ascii="Cambria" w:hAnsi="Cambria" w:cstheme="majorHAnsi"/>
          <w:b/>
          <w:sz w:val="24"/>
          <w:szCs w:val="24"/>
        </w:rPr>
        <w:t xml:space="preserve">d.1. Capacitação Técnica Operacional </w:t>
      </w:r>
    </w:p>
    <w:p>
      <w:pPr>
        <w:tabs>
          <w:tab w:val="left" w:pos="284"/>
        </w:tabs>
        <w:jc w:val="both"/>
        <w:rPr>
          <w:rFonts w:ascii="Cambria" w:hAnsi="Cambria" w:cstheme="majorHAnsi"/>
          <w:bCs/>
          <w:sz w:val="24"/>
          <w:szCs w:val="24"/>
        </w:rPr>
      </w:pPr>
      <w:r>
        <w:rPr>
          <w:rFonts w:ascii="Cambria" w:hAnsi="Cambria" w:cstheme="majorHAnsi"/>
          <w:bCs/>
          <w:sz w:val="24"/>
          <w:szCs w:val="24"/>
        </w:rPr>
        <w:t>d.1.1 - Comprovação de capacidade técnico-operacional da licitante para desempenho de atividade pertinente e compatível com o objeto da licitação, através de atestado fornecido por pessoa jurídica de direito público ou privado, que figure o nome da empresa como contratada, comprovando a execução satisfatória de serviços de recarga de suprimentos de impressão, manutenção preventiva e corretiva de impressoras, ou serviços compatíveis em características, quantidades e complexidade com o objeto licitado.</w:t>
      </w:r>
    </w:p>
    <w:p>
      <w:pPr>
        <w:tabs>
          <w:tab w:val="left" w:pos="284"/>
        </w:tabs>
        <w:jc w:val="both"/>
        <w:rPr>
          <w:rFonts w:ascii="Cambria" w:hAnsi="Cambria" w:cstheme="majorHAnsi"/>
          <w:b/>
          <w:sz w:val="24"/>
          <w:szCs w:val="24"/>
        </w:rPr>
      </w:pPr>
    </w:p>
    <w:p>
      <w:pPr>
        <w:tabs>
          <w:tab w:val="left" w:pos="284"/>
        </w:tabs>
        <w:jc w:val="both"/>
        <w:rPr>
          <w:rFonts w:ascii="Cambria" w:hAnsi="Cambria" w:cstheme="majorHAnsi"/>
          <w:b/>
          <w:sz w:val="24"/>
          <w:szCs w:val="24"/>
        </w:rPr>
      </w:pPr>
      <w:r>
        <w:rPr>
          <w:rFonts w:ascii="Cambria" w:hAnsi="Cambria" w:cstheme="majorHAnsi"/>
          <w:b/>
          <w:sz w:val="24"/>
          <w:szCs w:val="24"/>
        </w:rPr>
        <w:t xml:space="preserve">d.2 - Capacitação Técnica profissional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d.2.1 - Indicação do pessoal técnico adequado e disponível para a realização do objeto da licitação, bem como a qualificação profissional de cada um dos membros da equipe técnica que se responsabilizará pelos trabalhos.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d.2.3.1 - A comprovação de vinculação ao quadro permanente da licitante será feita: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a) Para sócio, mediante a apresentação do contrato social ou estatuto social e aditivos.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b) Para diretor, mediante a apresentação da ata de eleição e posse da atual diretoria, devidamente registrada junto ao órgão competente. </w:t>
      </w:r>
    </w:p>
    <w:p>
      <w:pPr>
        <w:tabs>
          <w:tab w:val="left" w:pos="284"/>
        </w:tabs>
        <w:jc w:val="both"/>
        <w:rPr>
          <w:rFonts w:ascii="Cambria" w:hAnsi="Cambria" w:cstheme="majorHAnsi"/>
          <w:bCs/>
          <w:sz w:val="24"/>
          <w:szCs w:val="24"/>
        </w:rPr>
      </w:pPr>
      <w:r>
        <w:rPr>
          <w:rFonts w:ascii="Cambria" w:hAnsi="Cambria" w:cstheme="majorHAnsi"/>
          <w:bCs/>
          <w:sz w:val="24"/>
          <w:szCs w:val="24"/>
        </w:rPr>
        <w:t xml:space="preserve">c) Se o responsável técnico não for sócio e/ou diretor da empresa, a comprovação será atendida mediante a apresentação da cópia da Carteira de Trabalho e Previdência Social (CTPS) devidamente assinada ou Contrato de Prestação de Serviço celebrado de acordo com a legislação civil comum. </w:t>
      </w:r>
    </w:p>
    <w:p>
      <w:pPr>
        <w:tabs>
          <w:tab w:val="left" w:pos="284"/>
        </w:tabs>
        <w:jc w:val="both"/>
        <w:rPr>
          <w:rFonts w:ascii="Cambria" w:hAnsi="Cambria" w:cstheme="majorHAnsi"/>
          <w:bCs/>
          <w:sz w:val="24"/>
          <w:szCs w:val="24"/>
        </w:rPr>
      </w:pPr>
      <w:r>
        <w:rPr>
          <w:rFonts w:ascii="Cambria" w:hAnsi="Cambria" w:cstheme="majorHAnsi"/>
          <w:bCs/>
          <w:sz w:val="24"/>
          <w:szCs w:val="24"/>
        </w:rPr>
        <w:t>d) Declaração de contratação futura do profissional detentor do atestado, acompanhado de anuência deste (Acórdão 1446/2015 Plenário).</w:t>
      </w:r>
    </w:p>
    <w:p>
      <w:pPr>
        <w:spacing w:after="160" w:line="259" w:lineRule="auto"/>
        <w:rPr>
          <w:rFonts w:ascii="Cambria" w:hAnsi="Cambria" w:cstheme="majorHAnsi"/>
          <w:bCs/>
          <w:sz w:val="24"/>
          <w:szCs w:val="24"/>
        </w:rPr>
      </w:pPr>
    </w:p>
    <w:p>
      <w:pPr>
        <w:rPr>
          <w:rFonts w:ascii="Cambria" w:eastAsia="Times New Roman" w:hAnsi="Cambria" w:cstheme="minorHAnsi"/>
          <w:b/>
          <w:sz w:val="24"/>
          <w:szCs w:val="24"/>
          <w:lang w:eastAsia="ar-SA"/>
        </w:rPr>
      </w:pPr>
      <w:r>
        <w:rPr>
          <w:rFonts w:ascii="Cambria" w:hAnsi="Cambria" w:cstheme="minorHAnsi"/>
          <w:b/>
          <w:sz w:val="24"/>
          <w:szCs w:val="24"/>
        </w:rPr>
        <w:br w:type="page"/>
      </w:r>
    </w:p>
    <w:p>
      <w:pPr>
        <w:jc w:val="center"/>
        <w:rPr>
          <w:rFonts w:ascii="Cambria" w:hAnsi="Cambria" w:cstheme="minorHAnsi"/>
          <w:b/>
          <w:sz w:val="24"/>
          <w:szCs w:val="24"/>
        </w:rPr>
      </w:pPr>
      <w:r>
        <w:rPr>
          <w:rFonts w:ascii="Cambria" w:hAnsi="Cambria" w:cstheme="minorHAnsi"/>
          <w:b/>
          <w:sz w:val="24"/>
          <w:szCs w:val="24"/>
        </w:rPr>
        <w:lastRenderedPageBreak/>
        <w:t>APÊNDICE DO ANEXO I</w:t>
      </w:r>
    </w:p>
    <w:p>
      <w:pPr>
        <w:pStyle w:val="PargrafodaLista"/>
        <w:tabs>
          <w:tab w:val="left" w:pos="284"/>
        </w:tabs>
        <w:autoSpaceDE w:val="0"/>
        <w:autoSpaceDN w:val="0"/>
        <w:adjustRightInd w:val="0"/>
        <w:ind w:left="0"/>
        <w:jc w:val="center"/>
        <w:rPr>
          <w:rFonts w:ascii="Cambria" w:hAnsi="Cambria" w:cstheme="minorHAnsi"/>
          <w:b/>
          <w:sz w:val="24"/>
          <w:szCs w:val="24"/>
        </w:rPr>
      </w:pPr>
    </w:p>
    <w:p>
      <w:pPr>
        <w:pStyle w:val="PargrafodaLista"/>
        <w:tabs>
          <w:tab w:val="left" w:pos="284"/>
        </w:tabs>
        <w:autoSpaceDE w:val="0"/>
        <w:autoSpaceDN w:val="0"/>
        <w:adjustRightInd w:val="0"/>
        <w:ind w:left="0"/>
        <w:jc w:val="center"/>
        <w:rPr>
          <w:rFonts w:ascii="Cambria" w:hAnsi="Cambria" w:cstheme="minorHAnsi"/>
          <w:b/>
          <w:sz w:val="24"/>
          <w:szCs w:val="24"/>
        </w:rPr>
      </w:pPr>
    </w:p>
    <w:p>
      <w:pPr>
        <w:shd w:val="clear" w:color="auto" w:fill="000099"/>
        <w:jc w:val="center"/>
        <w:rPr>
          <w:rFonts w:ascii="Cambria" w:hAnsi="Cambria" w:cstheme="majorHAnsi"/>
          <w:b/>
          <w:bCs/>
          <w:sz w:val="24"/>
          <w:szCs w:val="24"/>
        </w:rPr>
      </w:pPr>
      <w:r>
        <w:rPr>
          <w:rFonts w:ascii="Cambria" w:hAnsi="Cambria" w:cstheme="majorHAnsi"/>
          <w:b/>
          <w:sz w:val="24"/>
          <w:szCs w:val="24"/>
          <w:shd w:val="clear" w:color="auto" w:fill="000099"/>
        </w:rPr>
        <w:t>ESTUDO TÉCNICO PRELIMINAR – ETP</w:t>
      </w:r>
    </w:p>
    <w:p>
      <w:pPr>
        <w:jc w:val="both"/>
        <w:rPr>
          <w:rFonts w:ascii="Cambria" w:hAnsi="Cambria" w:cstheme="majorHAnsi"/>
          <w:b/>
          <w:bCs/>
          <w:sz w:val="24"/>
          <w:szCs w:val="24"/>
        </w:rPr>
      </w:pPr>
    </w:p>
    <w:p>
      <w:pPr>
        <w:pStyle w:val="PargrafodaLista"/>
        <w:numPr>
          <w:ilvl w:val="0"/>
          <w:numId w:val="50"/>
        </w:numPr>
        <w:suppressAutoHyphens w:val="0"/>
        <w:jc w:val="both"/>
        <w:rPr>
          <w:rFonts w:ascii="Cambria" w:hAnsi="Cambria" w:cstheme="majorHAnsi"/>
          <w:b/>
          <w:bCs/>
          <w:sz w:val="24"/>
          <w:szCs w:val="24"/>
        </w:rPr>
      </w:pPr>
      <w:r>
        <w:rPr>
          <w:rFonts w:ascii="Cambria" w:hAnsi="Cambria" w:cstheme="majorHAnsi"/>
          <w:b/>
          <w:bCs/>
          <w:sz w:val="24"/>
          <w:szCs w:val="24"/>
        </w:rPr>
        <w:t>DESCRIÇÃO DA NECESSIDADE DA CONTRATAÇÃO</w:t>
      </w:r>
    </w:p>
    <w:p>
      <w:pPr>
        <w:pStyle w:val="PargrafodaLista"/>
        <w:jc w:val="both"/>
        <w:rPr>
          <w:rFonts w:ascii="Cambria" w:hAnsi="Cambria" w:cstheme="majorHAnsi"/>
          <w:b/>
          <w:bCs/>
          <w:sz w:val="24"/>
          <w:szCs w:val="24"/>
        </w:rPr>
      </w:pPr>
    </w:p>
    <w:p>
      <w:pPr>
        <w:ind w:firstLine="851"/>
        <w:jc w:val="both"/>
        <w:rPr>
          <w:rFonts w:ascii="Cambria" w:hAnsi="Cambria" w:cstheme="majorHAnsi"/>
          <w:sz w:val="24"/>
          <w:szCs w:val="24"/>
        </w:rPr>
      </w:pPr>
      <w:r>
        <w:rPr>
          <w:rFonts w:ascii="Cambria" w:hAnsi="Cambria" w:cstheme="majorHAnsi"/>
          <w:sz w:val="24"/>
          <w:szCs w:val="24"/>
        </w:rPr>
        <w:t>A presente contratação decorre da necessidade de garantir o pleno funcionamento dos equipamentos de impressão utilizados pela Secretaria Municipal de Saúde do Município de Miraíma/CE, por meio da prestação de serviços de recarga de suprimentos de impressão (toners e cartuchos de tinta), manutenção preventiva e corretiva de impressoras, incluindo o fornecimento e substituição de peças, componentes e materiais necessários à execução dos serviços.</w:t>
      </w:r>
    </w:p>
    <w:p>
      <w:pPr>
        <w:ind w:firstLine="851"/>
        <w:jc w:val="both"/>
        <w:rPr>
          <w:rFonts w:ascii="Cambria" w:hAnsi="Cambria" w:cstheme="majorHAnsi"/>
          <w:sz w:val="24"/>
          <w:szCs w:val="24"/>
        </w:rPr>
      </w:pPr>
      <w:r>
        <w:rPr>
          <w:rFonts w:ascii="Cambria" w:hAnsi="Cambria" w:cstheme="majorHAnsi"/>
          <w:sz w:val="24"/>
          <w:szCs w:val="24"/>
        </w:rPr>
        <w:t>Os equipamentos de impressão são amplamente utilizados no desenvolvimento das atividades administrativas e operacionais da Secretaria Municipal de Saúde, sendo indispensáveis para a emissão de prontuários, receituários, solicitações de exames, encaminhamentos, relatórios, formulários, fichas de atendimento, documentos administrativos, processos internos e demais registros necessários à execução das ações e serviços de saúde ofertados à população.</w:t>
      </w:r>
    </w:p>
    <w:p>
      <w:pPr>
        <w:ind w:firstLine="851"/>
        <w:jc w:val="both"/>
        <w:rPr>
          <w:rFonts w:ascii="Cambria" w:hAnsi="Cambria" w:cstheme="majorHAnsi"/>
          <w:sz w:val="24"/>
          <w:szCs w:val="24"/>
        </w:rPr>
      </w:pPr>
      <w:r>
        <w:rPr>
          <w:rFonts w:ascii="Cambria" w:hAnsi="Cambria" w:cstheme="majorHAnsi"/>
          <w:sz w:val="24"/>
          <w:szCs w:val="24"/>
        </w:rPr>
        <w:t>A realização periódica dos serviços de recarga e manutenção é fundamental para assegurar a continuidade das atividades desenvolvidas nas unidades de saúde e nos setores administrativos, evitando interrupções decorrentes de falhas técnicas, prolongando a vida útil dos equipamentos e garantindo a qualidade e a eficiência dos serviços de impressão. A ausência desses serviços pode comprometer o fluxo das atividades administrativas e assistenciais, ocasionando atrasos na execução de procedimentos, no atendimento aos usuários e na operacionalização das políticas públicas de saúde.</w:t>
      </w:r>
    </w:p>
    <w:p>
      <w:pPr>
        <w:ind w:firstLine="851"/>
        <w:jc w:val="both"/>
        <w:rPr>
          <w:rFonts w:ascii="Cambria" w:hAnsi="Cambria" w:cstheme="majorHAnsi"/>
          <w:sz w:val="24"/>
          <w:szCs w:val="24"/>
        </w:rPr>
      </w:pPr>
      <w:r>
        <w:rPr>
          <w:rFonts w:ascii="Cambria" w:hAnsi="Cambria" w:cstheme="majorHAnsi"/>
          <w:sz w:val="24"/>
          <w:szCs w:val="24"/>
        </w:rPr>
        <w:t>Considerando que a Secretaria Municipal de Saúde não dispõe de estrutura técnica própria nem de profissionais especializados para a execução dos serviços de manutenção preventiva e corretiva dos equipamentos de impressão, faz-se necessária a contratação de empresa especializada para a realização dos serviços, incluindo o fornecimento e a substituição das peças, componentes e materiais necessários ao adequado funcionamento dos equipamentos.</w:t>
      </w:r>
    </w:p>
    <w:p>
      <w:pPr>
        <w:ind w:firstLine="851"/>
        <w:jc w:val="both"/>
        <w:rPr>
          <w:rFonts w:ascii="Cambria" w:hAnsi="Cambria" w:cstheme="majorHAnsi"/>
          <w:sz w:val="24"/>
          <w:szCs w:val="24"/>
        </w:rPr>
      </w:pPr>
      <w:r>
        <w:rPr>
          <w:rFonts w:ascii="Cambria" w:hAnsi="Cambria" w:cstheme="majorHAnsi"/>
          <w:sz w:val="24"/>
          <w:szCs w:val="24"/>
        </w:rPr>
        <w:t>Dessa forma, a contratação pretendida visa assegurar a continuidade dos serviços públicos de saúde, promover maior eficiência administrativa, reduzir o risco de paralisação das atividades, garantir a adequada conservação dos equipamentos e proporcionar melhores condições para o atendimento das demandas institucionais da Secretaria Municipal de Saúde do Município de Miraíma/CE.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2. DEMONSTRAÇÃO DA PREVISÃO DA CONTRATAÇÃO NO PLANO DE CONTRATAÇÕES ANUAL (PCA)</w:t>
      </w:r>
    </w:p>
    <w:p>
      <w:pPr>
        <w:ind w:firstLine="851"/>
        <w:jc w:val="both"/>
        <w:rPr>
          <w:rFonts w:ascii="Cambria" w:hAnsi="Cambria" w:cstheme="majorHAnsi"/>
          <w:sz w:val="24"/>
          <w:szCs w:val="24"/>
        </w:rPr>
      </w:pPr>
      <w:r>
        <w:rPr>
          <w:rFonts w:ascii="Cambria" w:hAnsi="Cambria" w:cstheme="majorHAnsi"/>
          <w:sz w:val="24"/>
          <w:szCs w:val="24"/>
        </w:rPr>
        <w:t>O Município de Miraíma possui Plano de Contratações Anual (PCA), instrumento de planejamento previsto na Lei nº 14.133/2021, destinado à consolidação das demandas de bens, serviços, obras e soluções de tecnologia da informação e comunicação a serem contratadas pela Administração Pública durante o exercício financeiro.</w:t>
      </w:r>
    </w:p>
    <w:p>
      <w:pPr>
        <w:ind w:firstLine="851"/>
        <w:jc w:val="both"/>
        <w:rPr>
          <w:rFonts w:ascii="Cambria" w:hAnsi="Cambria" w:cstheme="majorHAnsi"/>
          <w:sz w:val="24"/>
          <w:szCs w:val="24"/>
        </w:rPr>
      </w:pPr>
      <w:r>
        <w:rPr>
          <w:rFonts w:ascii="Cambria" w:hAnsi="Cambria" w:cstheme="majorHAnsi"/>
          <w:sz w:val="24"/>
          <w:szCs w:val="24"/>
        </w:rPr>
        <w:t xml:space="preserve">A presente contratação encontra-se devidamente prevista no referido instrumento de planejamento, sob o </w:t>
      </w:r>
      <w:r>
        <w:rPr>
          <w:rFonts w:ascii="Cambria" w:hAnsi="Cambria" w:cstheme="majorHAnsi"/>
          <w:b/>
          <w:bCs/>
          <w:sz w:val="24"/>
          <w:szCs w:val="24"/>
        </w:rPr>
        <w:t>ID nº 711</w:t>
      </w:r>
      <w:r>
        <w:rPr>
          <w:rFonts w:ascii="Cambria" w:hAnsi="Cambria" w:cstheme="majorHAnsi"/>
          <w:sz w:val="24"/>
          <w:szCs w:val="24"/>
        </w:rPr>
        <w:t xml:space="preserve">, com valor estimado de </w:t>
      </w:r>
      <w:r>
        <w:rPr>
          <w:rFonts w:ascii="Cambria" w:hAnsi="Cambria" w:cstheme="majorHAnsi"/>
          <w:b/>
          <w:bCs/>
          <w:sz w:val="24"/>
          <w:szCs w:val="24"/>
        </w:rPr>
        <w:t>R$ 300.000,00</w:t>
      </w:r>
      <w:r>
        <w:rPr>
          <w:rFonts w:ascii="Cambria" w:hAnsi="Cambria" w:cstheme="majorHAnsi"/>
          <w:sz w:val="24"/>
          <w:szCs w:val="24"/>
        </w:rPr>
        <w:t xml:space="preserve"> </w:t>
      </w:r>
      <w:r>
        <w:rPr>
          <w:rFonts w:ascii="Cambria" w:hAnsi="Cambria" w:cstheme="majorHAnsi"/>
          <w:b/>
          <w:bCs/>
          <w:sz w:val="24"/>
          <w:szCs w:val="24"/>
        </w:rPr>
        <w:t>(trezentos mil reais)</w:t>
      </w:r>
      <w:r>
        <w:rPr>
          <w:rFonts w:ascii="Cambria" w:hAnsi="Cambria" w:cstheme="majorHAnsi"/>
          <w:sz w:val="24"/>
          <w:szCs w:val="24"/>
        </w:rPr>
        <w:t xml:space="preserve">, </w:t>
      </w:r>
      <w:r>
        <w:rPr>
          <w:rFonts w:ascii="Cambria" w:hAnsi="Cambria" w:cstheme="majorHAnsi"/>
          <w:sz w:val="24"/>
          <w:szCs w:val="24"/>
        </w:rPr>
        <w:lastRenderedPageBreak/>
        <w:t>evidenciando sua compatibilidade com o planejamento administrativo, financeiro e orçamentário do Município.</w:t>
      </w:r>
    </w:p>
    <w:p>
      <w:pPr>
        <w:ind w:firstLine="851"/>
        <w:jc w:val="both"/>
        <w:rPr>
          <w:rFonts w:ascii="Cambria" w:hAnsi="Cambria" w:cstheme="majorHAnsi"/>
          <w:sz w:val="24"/>
          <w:szCs w:val="24"/>
        </w:rPr>
      </w:pPr>
      <w:r>
        <w:rPr>
          <w:rFonts w:ascii="Cambria" w:hAnsi="Cambria" w:cstheme="majorHAnsi"/>
          <w:sz w:val="24"/>
          <w:szCs w:val="24"/>
        </w:rPr>
        <w:t>A demanda refere-se à contratação de empresa especializada para prestação de serviços de recarga de suprimentos de impressão, manutenção preventiva e corretiva de impressoras, incluindo o fornecimento e substituição de peças, componentes e materiais necessários à execução dos serviços, destinados ao atendimento das necessidades da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A previsão da contratação no PCA demonstra a necessidade contínua da manutenção dos equipamentos de impressão utilizados nas atividades administrativas da Secretaria, garantindo a continuidade dos serviços públicos, a eficiência operacional e o adequado suporte às ações e programas desenvolvidos pelo órgão.</w:t>
      </w:r>
    </w:p>
    <w:p>
      <w:pPr>
        <w:ind w:firstLine="851"/>
        <w:jc w:val="both"/>
        <w:rPr>
          <w:rFonts w:ascii="Cambria" w:hAnsi="Cambria" w:cstheme="majorHAnsi"/>
          <w:sz w:val="24"/>
          <w:szCs w:val="24"/>
        </w:rPr>
      </w:pPr>
      <w:r>
        <w:rPr>
          <w:rFonts w:ascii="Cambria" w:hAnsi="Cambria" w:cstheme="majorHAnsi"/>
          <w:sz w:val="24"/>
          <w:szCs w:val="24"/>
        </w:rPr>
        <w:t>Dessa forma, resta evidenciada a conformidade da contratação com o planejamento anual da Administração Pública Municipal, observando-se os princípios do planejamento, eficiência, economicidade e interesse público, em consonância com as disposições da Lei nº 14.133/2021.</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3. REQUISITOS DA CONTRATAÇÃO</w:t>
      </w:r>
    </w:p>
    <w:p>
      <w:pPr>
        <w:ind w:firstLine="851"/>
        <w:jc w:val="both"/>
        <w:rPr>
          <w:rFonts w:ascii="Cambria" w:hAnsi="Cambria" w:cstheme="majorHAnsi"/>
          <w:sz w:val="24"/>
          <w:szCs w:val="24"/>
        </w:rPr>
      </w:pPr>
      <w:r>
        <w:rPr>
          <w:rFonts w:ascii="Cambria" w:hAnsi="Cambria" w:cstheme="majorHAnsi"/>
          <w:sz w:val="24"/>
          <w:szCs w:val="24"/>
        </w:rPr>
        <w:t>A contratação deverá atender aos requisitos técnicos e administrativos necessários para garantir a adequada prestação dos serviços de recarga de suprimentos de impressão, manutenção preventiva e corretiva de impressoras, incluindo o fornecimento e substituição de peças, componentes e materiais necessários à execução dos serviços, visando assegurar o pleno funcionamento dos equipamentos utilizados pela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A futura contratada deverá possuir capacidade técnica e operacional compatível com o objeto, dispondo de mão de obra qualificada, ferramentas adequadas e expertise na manutenção de equipamentos de impressão, utilizando insumos, peças e componentes novos, compatíveis e de primeiro uso, observando padrões de qualidade que garantam o adequado desempenho dos equipamentos e a qualidade das impressões realizadas.</w:t>
      </w:r>
    </w:p>
    <w:p>
      <w:pPr>
        <w:ind w:firstLine="851"/>
        <w:jc w:val="both"/>
        <w:rPr>
          <w:rFonts w:ascii="Cambria" w:hAnsi="Cambria" w:cstheme="majorHAnsi"/>
          <w:sz w:val="24"/>
          <w:szCs w:val="24"/>
        </w:rPr>
      </w:pPr>
      <w:r>
        <w:rPr>
          <w:rFonts w:ascii="Cambria" w:hAnsi="Cambria" w:cstheme="majorHAnsi"/>
          <w:sz w:val="24"/>
          <w:szCs w:val="24"/>
        </w:rPr>
        <w:t>Os serviços de manutenção preventiva deverão contemplar procedimentos periódicos de inspeção, limpeza, ajustes, regulagens, lubrificação, testes de funcionamento e demais ações necessárias à preservação da vida útil dos equipamentos. Já os serviços de manutenção corretiva deverão compreender a identificação, diagnóstico e correção de falhas mecânicas, elétricas, eletrônicas e funcionais, visando restabelecer plenamente as condições normais de operação dos equipamentos.</w:t>
      </w:r>
    </w:p>
    <w:p>
      <w:pPr>
        <w:ind w:firstLine="851"/>
        <w:jc w:val="both"/>
        <w:rPr>
          <w:rFonts w:ascii="Cambria" w:hAnsi="Cambria" w:cstheme="majorHAnsi"/>
          <w:sz w:val="24"/>
          <w:szCs w:val="24"/>
        </w:rPr>
      </w:pPr>
      <w:r>
        <w:rPr>
          <w:rFonts w:ascii="Cambria" w:hAnsi="Cambria" w:cstheme="majorHAnsi"/>
          <w:sz w:val="24"/>
          <w:szCs w:val="24"/>
        </w:rPr>
        <w:t>Quando tecnicamente necessário para o restabelecimento da funcionalidade dos equipamentos, a contratada deverá fornecer e substituir, sem ônus adicional para a Administração, todas as peças, componentes, acessórios e materiais indispensáveis à execução dos serviços, incluindo peças globais, conjuntos mecânicos, elétricos e eletrônicos, placas, sensores, engrenagens, cilindros, fusores, cabeças de impressão, fontes de alimentação e demais componentes compatíveis com os respectivos modelos de impressoras atendidos pela contratação.</w:t>
      </w:r>
    </w:p>
    <w:p>
      <w:pPr>
        <w:ind w:firstLine="851"/>
        <w:jc w:val="both"/>
        <w:rPr>
          <w:rFonts w:ascii="Cambria" w:hAnsi="Cambria" w:cstheme="majorHAnsi"/>
          <w:sz w:val="24"/>
          <w:szCs w:val="24"/>
        </w:rPr>
      </w:pPr>
      <w:r>
        <w:rPr>
          <w:rFonts w:ascii="Cambria" w:hAnsi="Cambria" w:cstheme="majorHAnsi"/>
          <w:sz w:val="24"/>
          <w:szCs w:val="24"/>
        </w:rPr>
        <w:t>A contratada será integralmente responsável pela qualidade dos serviços executados, bem como pela procedência, compatibilidade e desempenho dos materiais, peças e componentes empregados, respondendo pela correção de eventuais falhas identificadas durante a vigência contratual.</w:t>
      </w:r>
    </w:p>
    <w:p>
      <w:pPr>
        <w:ind w:firstLine="851"/>
        <w:jc w:val="both"/>
        <w:rPr>
          <w:rFonts w:ascii="Cambria" w:hAnsi="Cambria" w:cstheme="majorHAnsi"/>
          <w:sz w:val="24"/>
          <w:szCs w:val="24"/>
        </w:rPr>
      </w:pPr>
      <w:r>
        <w:rPr>
          <w:rFonts w:ascii="Cambria" w:hAnsi="Cambria" w:cstheme="majorHAnsi"/>
          <w:sz w:val="24"/>
          <w:szCs w:val="24"/>
        </w:rPr>
        <w:lastRenderedPageBreak/>
        <w:t>Quanto aos requisitos administrativos, a empresa deverá comprovar habilitação jurídica, regularidade fiscal, social e trabalhista, qualificação econômico-financeira e qualificação técnica compatíveis com a natureza e a complexidade do objeto, nos termos da Lei Federal nº 14.133/2021 e demais normas aplicáveis.</w:t>
      </w:r>
    </w:p>
    <w:p>
      <w:pPr>
        <w:ind w:firstLine="851"/>
        <w:jc w:val="both"/>
        <w:rPr>
          <w:rFonts w:ascii="Cambria" w:hAnsi="Cambria" w:cstheme="majorHAnsi"/>
          <w:sz w:val="24"/>
          <w:szCs w:val="24"/>
        </w:rPr>
      </w:pPr>
      <w:r>
        <w:rPr>
          <w:rFonts w:ascii="Cambria" w:hAnsi="Cambria" w:cstheme="majorHAnsi"/>
          <w:sz w:val="24"/>
          <w:szCs w:val="24"/>
        </w:rPr>
        <w:t>A execução dos serviços ocorrerá de forma parcelada, de acordo com as necessidades da Secretaria Municipal de Saúde, mediante solicitação da Administração, observados os quantitativos estimados para o período contratual, de modo a garantir a continuidade das atividades administrativas e operacionais das unidades de saúde e dos setores vinculados à Secretaria.</w:t>
      </w:r>
    </w:p>
    <w:p>
      <w:pPr>
        <w:ind w:firstLine="851"/>
        <w:jc w:val="both"/>
        <w:rPr>
          <w:rFonts w:ascii="Cambria" w:hAnsi="Cambria" w:cstheme="majorHAnsi"/>
          <w:sz w:val="24"/>
          <w:szCs w:val="24"/>
        </w:rPr>
      </w:pPr>
      <w:r>
        <w:rPr>
          <w:rFonts w:ascii="Cambria" w:hAnsi="Cambria" w:cstheme="majorHAnsi"/>
          <w:sz w:val="24"/>
          <w:szCs w:val="24"/>
        </w:rPr>
        <w:t>Por fim, a contratação deverá observar os princípios da legalidade, eficiência, economicidade, razoabilidade, continuidade do serviço público e interesse público, assegurando o atendimento adequado das demandas da Administração Municipal e a manutenção das condições necessárias à prestação dos serviços públicos de saúde à população.</w:t>
      </w:r>
    </w:p>
    <w:p>
      <w:pPr>
        <w:ind w:firstLine="851"/>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4. ESTIMATIVAS DAS QUANTIDADES PARA A CONTRATAÇÃO</w:t>
      </w:r>
    </w:p>
    <w:p>
      <w:pPr>
        <w:ind w:firstLine="851"/>
        <w:jc w:val="both"/>
        <w:rPr>
          <w:rFonts w:ascii="Cambria" w:hAnsi="Cambria" w:cstheme="majorHAnsi"/>
          <w:sz w:val="24"/>
          <w:szCs w:val="24"/>
        </w:rPr>
      </w:pPr>
      <w:r>
        <w:rPr>
          <w:rFonts w:ascii="Cambria" w:hAnsi="Cambria" w:cstheme="majorHAnsi"/>
          <w:sz w:val="24"/>
          <w:szCs w:val="24"/>
        </w:rPr>
        <w:t>As quantidades estimadas para a presente contratação foram definidas com base no levantamento das necessidades da Secretaria Municipal de Saúde do Município de Miraíma/CE, considerando a demanda por serviços de recarga de suprimentos de impressão, manutenção preventiva e corretiva de impressoras, bem como a necessidade de substituição de peças e componentes.</w:t>
      </w:r>
    </w:p>
    <w:p>
      <w:pPr>
        <w:ind w:firstLine="851"/>
        <w:jc w:val="both"/>
        <w:rPr>
          <w:rFonts w:ascii="Cambria" w:hAnsi="Cambria" w:cstheme="majorHAnsi"/>
          <w:sz w:val="24"/>
          <w:szCs w:val="24"/>
        </w:rPr>
      </w:pPr>
      <w:r>
        <w:rPr>
          <w:rFonts w:ascii="Cambria" w:hAnsi="Cambria" w:cstheme="majorHAnsi"/>
          <w:sz w:val="24"/>
          <w:szCs w:val="24"/>
        </w:rPr>
        <w:t>Para a definição dos quantitativos, foram considerados o número de equipamentos em utilização, o histórico de consumo de toners e cartuchos, a frequência de manutenções realizadas e a necessidade de garantir a continuidade das atividades administrativas desenvolvidas pela Secretaria.</w:t>
      </w:r>
    </w:p>
    <w:p>
      <w:pPr>
        <w:ind w:firstLine="851"/>
        <w:jc w:val="both"/>
        <w:rPr>
          <w:rFonts w:ascii="Cambria" w:hAnsi="Cambria" w:cstheme="majorHAnsi"/>
          <w:sz w:val="24"/>
          <w:szCs w:val="24"/>
        </w:rPr>
      </w:pPr>
      <w:r>
        <w:rPr>
          <w:rFonts w:ascii="Cambria" w:hAnsi="Cambria" w:cstheme="majorHAnsi"/>
          <w:sz w:val="24"/>
          <w:szCs w:val="24"/>
        </w:rPr>
        <w:t>As estimativas também contemplam eventuais intervenções corretivas decorrentes do desgaste natural dos equipamentos, visando minimizar interrupções nos serviços e assegurar o adequado funcionamento da estrutura administrativa.</w:t>
      </w:r>
    </w:p>
    <w:p>
      <w:pPr>
        <w:ind w:firstLine="851"/>
        <w:jc w:val="both"/>
        <w:rPr>
          <w:rFonts w:ascii="Cambria" w:hAnsi="Cambria" w:cstheme="majorHAnsi"/>
          <w:sz w:val="24"/>
          <w:szCs w:val="24"/>
        </w:rPr>
      </w:pPr>
      <w:r>
        <w:rPr>
          <w:rFonts w:ascii="Cambria" w:hAnsi="Cambria" w:cstheme="majorHAnsi"/>
          <w:sz w:val="24"/>
          <w:szCs w:val="24"/>
        </w:rPr>
        <w:t>Dessa forma, os quantitativos foram estabelecidos com base em critérios de razoabilidade e planejamento, buscando atender às necessidades da Administração com eficiência, economicidade e continuidade dos serviços públicos.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5. LEVANTAMENTO DE MERCADO</w:t>
      </w:r>
    </w:p>
    <w:p>
      <w:pPr>
        <w:ind w:firstLine="851"/>
        <w:jc w:val="both"/>
        <w:rPr>
          <w:rFonts w:ascii="Cambria" w:hAnsi="Cambria" w:cstheme="majorHAnsi"/>
          <w:sz w:val="24"/>
          <w:szCs w:val="24"/>
        </w:rPr>
      </w:pPr>
      <w:r>
        <w:rPr>
          <w:rFonts w:ascii="Cambria" w:hAnsi="Cambria" w:cstheme="majorHAnsi"/>
          <w:sz w:val="24"/>
          <w:szCs w:val="24"/>
        </w:rPr>
        <w:t>Para atendimento da necessidade da Secretaria Municipal de Saúde do Município de Miraíma/CE, foram analisadas as principais alternativas disponíveis no mercado para execução dos serviços de recarga de suprimentos de impressão, manutenção preventiva e corretiva de impressoras, incluindo o fornecimento de peças e componentes.</w:t>
      </w:r>
    </w:p>
    <w:p>
      <w:pPr>
        <w:ind w:firstLine="851"/>
        <w:jc w:val="both"/>
        <w:rPr>
          <w:rFonts w:ascii="Cambria" w:hAnsi="Cambria" w:cstheme="majorHAnsi"/>
          <w:sz w:val="24"/>
          <w:szCs w:val="24"/>
        </w:rPr>
      </w:pPr>
    </w:p>
    <w:p>
      <w:pPr>
        <w:jc w:val="both"/>
        <w:rPr>
          <w:rFonts w:ascii="Cambria" w:hAnsi="Cambria" w:cstheme="majorHAnsi"/>
          <w:b/>
          <w:bCs/>
          <w:sz w:val="24"/>
          <w:szCs w:val="24"/>
        </w:rPr>
      </w:pPr>
      <w:r>
        <w:rPr>
          <w:rFonts w:ascii="Cambria" w:hAnsi="Cambria" w:cstheme="majorHAnsi"/>
          <w:b/>
          <w:bCs/>
          <w:sz w:val="24"/>
          <w:szCs w:val="24"/>
        </w:rPr>
        <w:t>a) Execução por equipe própria da Administração</w:t>
      </w:r>
    </w:p>
    <w:p>
      <w:pPr>
        <w:jc w:val="both"/>
        <w:rPr>
          <w:rFonts w:ascii="Cambria" w:hAnsi="Cambria" w:cstheme="majorHAnsi"/>
          <w:sz w:val="24"/>
          <w:szCs w:val="24"/>
        </w:rPr>
      </w:pPr>
      <w:r>
        <w:rPr>
          <w:rFonts w:ascii="Cambria" w:hAnsi="Cambria" w:cstheme="majorHAnsi"/>
          <w:sz w:val="24"/>
          <w:szCs w:val="24"/>
        </w:rPr>
        <w:t>A realização dos serviços por servidores do próprio Município exigiria a disponibilização de mão de obra especializada, aquisição de ferramentas específicas, peças, componentes e insumos para manutenção dos equipamentos, além da estrutura necessária para execução dos serviços.</w:t>
      </w:r>
    </w:p>
    <w:p>
      <w:pPr>
        <w:jc w:val="both"/>
        <w:rPr>
          <w:rFonts w:ascii="Cambria" w:hAnsi="Cambria" w:cstheme="majorHAnsi"/>
          <w:sz w:val="24"/>
          <w:szCs w:val="24"/>
        </w:rPr>
      </w:pPr>
      <w:r>
        <w:rPr>
          <w:rFonts w:ascii="Cambria" w:hAnsi="Cambria" w:cstheme="majorHAnsi"/>
          <w:sz w:val="24"/>
          <w:szCs w:val="24"/>
        </w:rPr>
        <w:t>Essa alternativa apresenta limitações operacionais e financeiras, tais como:</w:t>
      </w:r>
    </w:p>
    <w:p>
      <w:pPr>
        <w:jc w:val="both"/>
        <w:rPr>
          <w:rFonts w:ascii="Cambria" w:hAnsi="Cambria" w:cstheme="majorHAnsi"/>
          <w:sz w:val="24"/>
          <w:szCs w:val="24"/>
        </w:rPr>
      </w:pPr>
      <w:r>
        <w:rPr>
          <w:rFonts w:ascii="Cambria" w:hAnsi="Cambria" w:cstheme="majorHAnsi"/>
          <w:sz w:val="24"/>
          <w:szCs w:val="24"/>
        </w:rPr>
        <w:t>• inexistência de equipe técnica especializada para execução dos serviços;</w:t>
      </w:r>
    </w:p>
    <w:p>
      <w:pPr>
        <w:jc w:val="both"/>
        <w:rPr>
          <w:rFonts w:ascii="Cambria" w:hAnsi="Cambria" w:cstheme="majorHAnsi"/>
          <w:sz w:val="24"/>
          <w:szCs w:val="24"/>
        </w:rPr>
      </w:pPr>
      <w:r>
        <w:rPr>
          <w:rFonts w:ascii="Cambria" w:hAnsi="Cambria" w:cstheme="majorHAnsi"/>
          <w:sz w:val="24"/>
          <w:szCs w:val="24"/>
        </w:rPr>
        <w:t>• necessidade de investimentos em ferramentas e materiais específicos;</w:t>
      </w:r>
    </w:p>
    <w:p>
      <w:pPr>
        <w:jc w:val="both"/>
        <w:rPr>
          <w:rFonts w:ascii="Cambria" w:hAnsi="Cambria" w:cstheme="majorHAnsi"/>
          <w:sz w:val="24"/>
          <w:szCs w:val="24"/>
        </w:rPr>
      </w:pPr>
      <w:r>
        <w:rPr>
          <w:rFonts w:ascii="Cambria" w:hAnsi="Cambria" w:cstheme="majorHAnsi"/>
          <w:sz w:val="24"/>
          <w:szCs w:val="24"/>
        </w:rPr>
        <w:t>• maior custo operacional para a Administração;</w:t>
      </w:r>
    </w:p>
    <w:p>
      <w:pPr>
        <w:jc w:val="both"/>
        <w:rPr>
          <w:rFonts w:ascii="Cambria" w:hAnsi="Cambria" w:cstheme="majorHAnsi"/>
          <w:sz w:val="24"/>
          <w:szCs w:val="24"/>
        </w:rPr>
      </w:pPr>
      <w:r>
        <w:rPr>
          <w:rFonts w:ascii="Cambria" w:hAnsi="Cambria" w:cstheme="majorHAnsi"/>
          <w:sz w:val="24"/>
          <w:szCs w:val="24"/>
        </w:rPr>
        <w:lastRenderedPageBreak/>
        <w:t>• dificuldades na reposição imediata de peças e suprimentos;</w:t>
      </w:r>
    </w:p>
    <w:p>
      <w:pPr>
        <w:jc w:val="both"/>
        <w:rPr>
          <w:rFonts w:ascii="Cambria" w:hAnsi="Cambria" w:cstheme="majorHAnsi"/>
          <w:sz w:val="24"/>
          <w:szCs w:val="24"/>
        </w:rPr>
      </w:pPr>
      <w:r>
        <w:rPr>
          <w:rFonts w:ascii="Cambria" w:hAnsi="Cambria" w:cstheme="majorHAnsi"/>
          <w:sz w:val="24"/>
          <w:szCs w:val="24"/>
        </w:rPr>
        <w:t>• risco de interrupção das atividades administrativas.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b) Contratação de empresa especializada para prestação dos serviços</w:t>
      </w:r>
    </w:p>
    <w:p>
      <w:pPr>
        <w:jc w:val="both"/>
        <w:rPr>
          <w:rFonts w:ascii="Cambria" w:hAnsi="Cambria" w:cstheme="majorHAnsi"/>
          <w:sz w:val="24"/>
          <w:szCs w:val="24"/>
        </w:rPr>
      </w:pPr>
      <w:r>
        <w:rPr>
          <w:rFonts w:ascii="Cambria" w:hAnsi="Cambria" w:cstheme="majorHAnsi"/>
          <w:sz w:val="24"/>
          <w:szCs w:val="24"/>
        </w:rPr>
        <w:t>A contratação de empresa especializada para execução dos serviços de recarga de suprimentos de impressão e manutenção de impressoras apresenta-se como a alternativa mais adequada e vantajosa para a Administração, considerando:</w:t>
      </w:r>
    </w:p>
    <w:p>
      <w:pPr>
        <w:jc w:val="both"/>
        <w:rPr>
          <w:rFonts w:ascii="Cambria" w:hAnsi="Cambria" w:cstheme="majorHAnsi"/>
          <w:sz w:val="24"/>
          <w:szCs w:val="24"/>
        </w:rPr>
      </w:pPr>
      <w:r>
        <w:rPr>
          <w:rFonts w:ascii="Cambria" w:hAnsi="Cambria" w:cstheme="majorHAnsi"/>
          <w:sz w:val="24"/>
          <w:szCs w:val="24"/>
        </w:rPr>
        <w:t>• disponibilidade de mão de obra especializada;</w:t>
      </w:r>
    </w:p>
    <w:p>
      <w:pPr>
        <w:jc w:val="both"/>
        <w:rPr>
          <w:rFonts w:ascii="Cambria" w:hAnsi="Cambria" w:cstheme="majorHAnsi"/>
          <w:sz w:val="24"/>
          <w:szCs w:val="24"/>
        </w:rPr>
      </w:pPr>
      <w:r>
        <w:rPr>
          <w:rFonts w:ascii="Cambria" w:hAnsi="Cambria" w:cstheme="majorHAnsi"/>
          <w:sz w:val="24"/>
          <w:szCs w:val="24"/>
        </w:rPr>
        <w:t>• fornecimento de peças, componentes e insumos necessários à execução dos serviços;</w:t>
      </w:r>
    </w:p>
    <w:p>
      <w:pPr>
        <w:jc w:val="both"/>
        <w:rPr>
          <w:rFonts w:ascii="Cambria" w:hAnsi="Cambria" w:cstheme="majorHAnsi"/>
          <w:sz w:val="24"/>
          <w:szCs w:val="24"/>
        </w:rPr>
      </w:pPr>
      <w:r>
        <w:rPr>
          <w:rFonts w:ascii="Cambria" w:hAnsi="Cambria" w:cstheme="majorHAnsi"/>
          <w:sz w:val="24"/>
          <w:szCs w:val="24"/>
        </w:rPr>
        <w:t>• maior agilidade na solução de falhas e defeitos dos equipamentos;</w:t>
      </w:r>
    </w:p>
    <w:p>
      <w:pPr>
        <w:jc w:val="both"/>
        <w:rPr>
          <w:rFonts w:ascii="Cambria" w:hAnsi="Cambria" w:cstheme="majorHAnsi"/>
          <w:sz w:val="24"/>
          <w:szCs w:val="24"/>
        </w:rPr>
      </w:pPr>
      <w:r>
        <w:rPr>
          <w:rFonts w:ascii="Cambria" w:hAnsi="Cambria" w:cstheme="majorHAnsi"/>
          <w:sz w:val="24"/>
          <w:szCs w:val="24"/>
        </w:rPr>
        <w:t>• redução de custos com estrutura própria de manutenção;</w:t>
      </w:r>
    </w:p>
    <w:p>
      <w:pPr>
        <w:jc w:val="both"/>
        <w:rPr>
          <w:rFonts w:ascii="Cambria" w:hAnsi="Cambria" w:cstheme="majorHAnsi"/>
          <w:sz w:val="24"/>
          <w:szCs w:val="24"/>
        </w:rPr>
      </w:pPr>
      <w:r>
        <w:rPr>
          <w:rFonts w:ascii="Cambria" w:hAnsi="Cambria" w:cstheme="majorHAnsi"/>
          <w:sz w:val="24"/>
          <w:szCs w:val="24"/>
        </w:rPr>
        <w:t>• garantia da continuidade das atividades administrativas;</w:t>
      </w:r>
    </w:p>
    <w:p>
      <w:pPr>
        <w:jc w:val="both"/>
        <w:rPr>
          <w:rFonts w:ascii="Cambria" w:hAnsi="Cambria" w:cstheme="majorHAnsi"/>
          <w:sz w:val="24"/>
          <w:szCs w:val="24"/>
        </w:rPr>
      </w:pPr>
      <w:r>
        <w:rPr>
          <w:rFonts w:ascii="Cambria" w:hAnsi="Cambria" w:cstheme="majorHAnsi"/>
          <w:sz w:val="24"/>
          <w:szCs w:val="24"/>
        </w:rPr>
        <w:t>• maior eficiência na gestão e conservação dos equipamentos.</w:t>
      </w:r>
    </w:p>
    <w:p>
      <w:pPr>
        <w:jc w:val="both"/>
        <w:rPr>
          <w:rFonts w:ascii="Cambria" w:hAnsi="Cambria" w:cstheme="majorHAnsi"/>
          <w:sz w:val="24"/>
          <w:szCs w:val="24"/>
        </w:rPr>
      </w:pPr>
      <w:r>
        <w:rPr>
          <w:rFonts w:ascii="Cambria" w:hAnsi="Cambria" w:cstheme="majorHAnsi"/>
          <w:sz w:val="24"/>
          <w:szCs w:val="24"/>
        </w:rPr>
        <w:t>Essa alternativa proporciona maior segurança operacional, economicidade e qualidade na execução dos serviços, assegurando o adequado funcionamento dos equipamentos utilizados pela Secretaria.</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c) Contratação eventual por demanda</w:t>
      </w:r>
    </w:p>
    <w:p>
      <w:pPr>
        <w:jc w:val="both"/>
        <w:rPr>
          <w:rFonts w:ascii="Cambria" w:hAnsi="Cambria" w:cstheme="majorHAnsi"/>
          <w:sz w:val="24"/>
          <w:szCs w:val="24"/>
        </w:rPr>
      </w:pPr>
      <w:r>
        <w:rPr>
          <w:rFonts w:ascii="Cambria" w:hAnsi="Cambria" w:cstheme="majorHAnsi"/>
          <w:sz w:val="24"/>
          <w:szCs w:val="24"/>
        </w:rPr>
        <w:t>Outra alternativa consiste na contratação de serviços apenas quando surgirem defeitos ou necessidade de recarga dos suprimentos. Contudo, essa modalidade pode acarretar:</w:t>
      </w:r>
    </w:p>
    <w:p>
      <w:pPr>
        <w:jc w:val="both"/>
        <w:rPr>
          <w:rFonts w:ascii="Cambria" w:hAnsi="Cambria" w:cstheme="majorHAnsi"/>
          <w:sz w:val="24"/>
          <w:szCs w:val="24"/>
        </w:rPr>
      </w:pPr>
      <w:r>
        <w:rPr>
          <w:rFonts w:ascii="Cambria" w:hAnsi="Cambria" w:cstheme="majorHAnsi"/>
          <w:sz w:val="24"/>
          <w:szCs w:val="24"/>
        </w:rPr>
        <w:t>• demora na solução dos problemas identificados;</w:t>
      </w:r>
    </w:p>
    <w:p>
      <w:pPr>
        <w:jc w:val="both"/>
        <w:rPr>
          <w:rFonts w:ascii="Cambria" w:hAnsi="Cambria" w:cstheme="majorHAnsi"/>
          <w:sz w:val="24"/>
          <w:szCs w:val="24"/>
        </w:rPr>
      </w:pPr>
      <w:r>
        <w:rPr>
          <w:rFonts w:ascii="Cambria" w:hAnsi="Cambria" w:cstheme="majorHAnsi"/>
          <w:sz w:val="24"/>
          <w:szCs w:val="24"/>
        </w:rPr>
        <w:t>• paralisação temporária dos equipamentos;</w:t>
      </w:r>
    </w:p>
    <w:p>
      <w:pPr>
        <w:jc w:val="both"/>
        <w:rPr>
          <w:rFonts w:ascii="Cambria" w:hAnsi="Cambria" w:cstheme="majorHAnsi"/>
          <w:sz w:val="24"/>
          <w:szCs w:val="24"/>
        </w:rPr>
      </w:pPr>
      <w:r>
        <w:rPr>
          <w:rFonts w:ascii="Cambria" w:hAnsi="Cambria" w:cstheme="majorHAnsi"/>
          <w:sz w:val="24"/>
          <w:szCs w:val="24"/>
        </w:rPr>
        <w:t>• maior número de contratações e procedimentos administrativos;</w:t>
      </w:r>
    </w:p>
    <w:p>
      <w:pPr>
        <w:jc w:val="both"/>
        <w:rPr>
          <w:rFonts w:ascii="Cambria" w:hAnsi="Cambria" w:cstheme="majorHAnsi"/>
          <w:sz w:val="24"/>
          <w:szCs w:val="24"/>
        </w:rPr>
      </w:pPr>
      <w:r>
        <w:rPr>
          <w:rFonts w:ascii="Cambria" w:hAnsi="Cambria" w:cstheme="majorHAnsi"/>
          <w:sz w:val="24"/>
          <w:szCs w:val="24"/>
        </w:rPr>
        <w:t>• dificuldades de planejamento e controle dos gastos;</w:t>
      </w:r>
    </w:p>
    <w:p>
      <w:pPr>
        <w:jc w:val="both"/>
        <w:rPr>
          <w:rFonts w:ascii="Cambria" w:hAnsi="Cambria" w:cstheme="majorHAnsi"/>
          <w:sz w:val="24"/>
          <w:szCs w:val="24"/>
        </w:rPr>
      </w:pPr>
      <w:r>
        <w:rPr>
          <w:rFonts w:ascii="Cambria" w:hAnsi="Cambria" w:cstheme="majorHAnsi"/>
          <w:sz w:val="24"/>
          <w:szCs w:val="24"/>
        </w:rPr>
        <w:t>• risco de descontinuidade das atividades administrativas.</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Conclusão do Levantamento de Mercado</w:t>
      </w:r>
    </w:p>
    <w:p>
      <w:pPr>
        <w:ind w:firstLine="851"/>
        <w:jc w:val="both"/>
        <w:rPr>
          <w:rFonts w:ascii="Cambria" w:hAnsi="Cambria" w:cstheme="majorHAnsi"/>
          <w:sz w:val="24"/>
          <w:szCs w:val="24"/>
        </w:rPr>
      </w:pPr>
      <w:r>
        <w:rPr>
          <w:rFonts w:ascii="Cambria" w:hAnsi="Cambria" w:cstheme="majorHAnsi"/>
          <w:sz w:val="24"/>
          <w:szCs w:val="24"/>
        </w:rPr>
        <w:t>Após a análise das alternativas disponíveis, conclui-se que a contratação de empresa especializada para prestação de serviços de recarga de suprimentos de impressão, manutenção preventiva e corretiva de impressoras, incluindo o fornecimento de peças, componentes e materiais necessários, representa a solução mais vantajosa para atender às necessidades da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A solução escolhida proporciona maior eficiência operacional, economicidade, continuidade dos serviços e melhor conservação dos equipamentos, atendendo aos princípios da Administração Pública e ao interesse público.</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6. ESTIMATIVA DO VALOR DA CONTRATAÇÃO</w:t>
      </w:r>
    </w:p>
    <w:p>
      <w:pPr>
        <w:ind w:firstLine="720"/>
        <w:jc w:val="both"/>
        <w:rPr>
          <w:rFonts w:ascii="Cambria" w:hAnsi="Cambria" w:cstheme="majorHAnsi"/>
          <w:sz w:val="24"/>
          <w:szCs w:val="24"/>
        </w:rPr>
      </w:pPr>
      <w:r>
        <w:rPr>
          <w:rFonts w:ascii="Cambria" w:hAnsi="Cambria" w:cstheme="majorHAnsi"/>
          <w:sz w:val="24"/>
          <w:szCs w:val="24"/>
        </w:rPr>
        <w:t>Conforme previsto no Plano de Contratações Anual (PCA) 2026, sob o ID nº 711, referente à contratação de empresa especializada para prestação de serviços de recarga de suprimentos de impressão, manutenção preventiva e corretiva de impressoras, incluindo o fornecimento e substituição de peças, componentes e materiais necessários à execução dos serviços, a estimativa inicial da contratação é de R$ 300.000,00 (trezentos mil reais).</w:t>
      </w:r>
    </w:p>
    <w:p>
      <w:pPr>
        <w:ind w:firstLine="720"/>
        <w:jc w:val="both"/>
        <w:rPr>
          <w:rFonts w:ascii="Cambria" w:hAnsi="Cambria" w:cstheme="majorHAnsi"/>
          <w:sz w:val="24"/>
          <w:szCs w:val="24"/>
        </w:rPr>
      </w:pPr>
      <w:r>
        <w:rPr>
          <w:rFonts w:ascii="Cambria" w:hAnsi="Cambria" w:cstheme="majorHAnsi"/>
          <w:sz w:val="24"/>
          <w:szCs w:val="24"/>
        </w:rPr>
        <w:t xml:space="preserve">A estimativa do valor da contratação considera os quantitativos estimados de recargas de toners e tintas, serviços de manutenção preventiva e corretiva, bem como o fornecimento e substituição de peças, componentes e materiais necessários ao adequado funcionamento dos </w:t>
      </w:r>
      <w:r>
        <w:rPr>
          <w:rFonts w:ascii="Cambria" w:hAnsi="Cambria" w:cstheme="majorHAnsi"/>
          <w:sz w:val="24"/>
          <w:szCs w:val="24"/>
        </w:rPr>
        <w:lastRenderedPageBreak/>
        <w:t>equipamentos de impressão pertencentes à Secretaria Municipal de Saúde, conforme levantamento prévio das necessidades da Administração para o período de 12 (doze) meses.</w:t>
      </w:r>
    </w:p>
    <w:p>
      <w:pPr>
        <w:ind w:firstLine="720"/>
        <w:jc w:val="both"/>
        <w:rPr>
          <w:rFonts w:ascii="Cambria" w:hAnsi="Cambria" w:cstheme="majorHAnsi"/>
          <w:sz w:val="24"/>
          <w:szCs w:val="24"/>
        </w:rPr>
      </w:pPr>
      <w:r>
        <w:rPr>
          <w:rFonts w:ascii="Cambria" w:hAnsi="Cambria" w:cstheme="majorHAnsi"/>
          <w:sz w:val="24"/>
          <w:szCs w:val="24"/>
        </w:rPr>
        <w:t>O valor estimado foi definido com base no levantamento de mercado realizado pela Administração, mediante pesquisa formal de preços, servindo como parâmetro para o planejamento da contratação, previsão da despesa e verificação da compatibilidade com a disponibilidade orçamentária da Secretaria Municipal de Saúde.</w:t>
      </w:r>
    </w:p>
    <w:p>
      <w:pPr>
        <w:ind w:firstLine="720"/>
        <w:jc w:val="both"/>
        <w:rPr>
          <w:rFonts w:ascii="Cambria" w:hAnsi="Cambria" w:cstheme="majorHAnsi"/>
          <w:sz w:val="24"/>
          <w:szCs w:val="24"/>
        </w:rPr>
      </w:pPr>
      <w:r>
        <w:rPr>
          <w:rFonts w:ascii="Cambria" w:hAnsi="Cambria" w:cstheme="majorHAnsi"/>
          <w:sz w:val="24"/>
          <w:szCs w:val="24"/>
        </w:rPr>
        <w:t>Ressalta-se que o valor estimado corresponde ao montante máximo previsto para a contratação e foi obtido a partir dos preços médios apurados na pesquisa de mercado, observando-se os critérios e metodologias estabelecidos na legislação vigente, podendo a contratação ser efetivada por valor inferior em razão da competitividade do certame licitatório.</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7. DESCRIÇÃO DA SOLUÇÃO</w:t>
      </w:r>
    </w:p>
    <w:p>
      <w:pPr>
        <w:ind w:firstLine="720"/>
        <w:jc w:val="both"/>
        <w:rPr>
          <w:rFonts w:ascii="Cambria" w:hAnsi="Cambria" w:cstheme="majorHAnsi"/>
          <w:sz w:val="24"/>
          <w:szCs w:val="24"/>
        </w:rPr>
      </w:pPr>
      <w:r>
        <w:rPr>
          <w:rFonts w:ascii="Cambria" w:hAnsi="Cambria" w:cstheme="majorHAnsi"/>
          <w:sz w:val="24"/>
          <w:szCs w:val="24"/>
        </w:rPr>
        <w:t>A solução proposta consiste na 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garantir o pleno funcionamento dos equipamentos pertencentes à Secretaria Municipal de Saúde do Município de Miraíma/CE.</w:t>
      </w:r>
    </w:p>
    <w:p>
      <w:pPr>
        <w:ind w:firstLine="720"/>
        <w:jc w:val="both"/>
        <w:rPr>
          <w:rFonts w:ascii="Cambria" w:hAnsi="Cambria" w:cstheme="majorHAnsi"/>
          <w:sz w:val="24"/>
          <w:szCs w:val="24"/>
        </w:rPr>
      </w:pPr>
      <w:r>
        <w:rPr>
          <w:rFonts w:ascii="Cambria" w:hAnsi="Cambria" w:cstheme="majorHAnsi"/>
          <w:sz w:val="24"/>
          <w:szCs w:val="24"/>
        </w:rPr>
        <w:t>A contratação abrangerá serviços de recarga de toners e tintas, manutenções preventivas e corretivas, bem como o fornecimento e a substituição de peças e componentes necessários ao restabelecimento das condições adequadas de funcionamento dos equipamentos.</w:t>
      </w:r>
    </w:p>
    <w:p>
      <w:pPr>
        <w:ind w:firstLine="720"/>
        <w:jc w:val="both"/>
        <w:rPr>
          <w:rFonts w:ascii="Cambria" w:hAnsi="Cambria" w:cstheme="majorHAnsi"/>
          <w:sz w:val="24"/>
          <w:szCs w:val="24"/>
        </w:rPr>
      </w:pPr>
      <w:r>
        <w:rPr>
          <w:rFonts w:ascii="Cambria" w:hAnsi="Cambria" w:cstheme="majorHAnsi"/>
          <w:sz w:val="24"/>
          <w:szCs w:val="24"/>
        </w:rPr>
        <w:t>A execução ocorrerá de forma parcelada, conforme a demanda da Administração, assegurando a continuidade das atividades administrativas e operacionais da Secretaria, evitando interrupções decorrentes de falhas nos equipamentos e contribuindo para a eficiência dos serviços públicos prestados à população.</w:t>
      </w:r>
    </w:p>
    <w:p>
      <w:pPr>
        <w:ind w:firstLine="720"/>
        <w:jc w:val="both"/>
        <w:rPr>
          <w:rFonts w:ascii="Cambria" w:hAnsi="Cambria" w:cstheme="majorHAnsi"/>
          <w:sz w:val="24"/>
          <w:szCs w:val="24"/>
        </w:rPr>
      </w:pPr>
      <w:r>
        <w:rPr>
          <w:rFonts w:ascii="Cambria" w:hAnsi="Cambria" w:cstheme="majorHAnsi"/>
          <w:sz w:val="24"/>
          <w:szCs w:val="24"/>
        </w:rPr>
        <w:t>Dessa forma, a solução adotada mostra-se adequada para atender às necessidades da Secretaria Municipal de Saúde, garantindo a conservação dos equipamentos, a continuidade dos serviços e a economicidade da contratação.</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8. JUSTIFICATIVAS PARA O PARCELAMENTO DA CONTRATAÇÃO</w:t>
      </w:r>
    </w:p>
    <w:p>
      <w:pPr>
        <w:spacing w:line="259" w:lineRule="auto"/>
        <w:ind w:firstLine="567"/>
        <w:jc w:val="both"/>
        <w:rPr>
          <w:rFonts w:ascii="Cambria" w:hAnsi="Cambria" w:cstheme="majorHAnsi"/>
          <w:sz w:val="24"/>
          <w:szCs w:val="24"/>
        </w:rPr>
      </w:pPr>
      <w:r>
        <w:rPr>
          <w:rFonts w:ascii="Cambria" w:hAnsi="Cambria" w:cstheme="majorHAnsi"/>
          <w:sz w:val="24"/>
          <w:szCs w:val="24"/>
        </w:rPr>
        <w:t>Nos termos da Lei nº 14.133/2021, o parcelamento do objeto deve ser adotado sempre que tecnicamente viável e economicamente vantajoso, com vistas à ampliação da competitividade e à obtenção da proposta mais vantajosa para a Administração.</w:t>
      </w:r>
    </w:p>
    <w:p>
      <w:pPr>
        <w:spacing w:line="259" w:lineRule="auto"/>
        <w:ind w:firstLine="567"/>
        <w:jc w:val="both"/>
        <w:rPr>
          <w:rFonts w:ascii="Cambria" w:hAnsi="Cambria" w:cstheme="majorHAnsi"/>
          <w:sz w:val="24"/>
          <w:szCs w:val="24"/>
        </w:rPr>
      </w:pPr>
      <w:r>
        <w:rPr>
          <w:rFonts w:ascii="Cambria" w:hAnsi="Cambria" w:cstheme="majorHAnsi"/>
          <w:sz w:val="24"/>
          <w:szCs w:val="24"/>
        </w:rPr>
        <w:t>No presente caso, após análise das características da contratação, verifica-se que o parcelamento do objeto não se mostra a alternativa mais adequada, considerando que os serviços de recarga de suprimentos de impressão, manutenção preventiva e corretiva de impressoras, bem como o fornecimento e substituição de peças, componentes e materiais necessários à execução dos serviços, possuem natureza complementar e interdependente.</w:t>
      </w:r>
    </w:p>
    <w:p>
      <w:pPr>
        <w:spacing w:line="259" w:lineRule="auto"/>
        <w:ind w:firstLine="567"/>
        <w:jc w:val="both"/>
        <w:rPr>
          <w:rFonts w:ascii="Cambria" w:hAnsi="Cambria" w:cstheme="majorHAnsi"/>
          <w:sz w:val="24"/>
          <w:szCs w:val="24"/>
        </w:rPr>
      </w:pPr>
      <w:r>
        <w:rPr>
          <w:rFonts w:ascii="Cambria" w:hAnsi="Cambria" w:cstheme="majorHAnsi"/>
          <w:sz w:val="24"/>
          <w:szCs w:val="24"/>
        </w:rPr>
        <w:t>A divisão da contratação em itens ou contratações distintas poderia ocasionar dificuldades na gestão e fiscalização contratual, além de gerar conflitos de responsabilidade entre diferentes fornecedores quanto à execução dos serviços e ao adequado funcionamento dos equipamentos, comprometendo a eficiência da solução pretendida.</w:t>
      </w:r>
    </w:p>
    <w:p>
      <w:pPr>
        <w:spacing w:line="259" w:lineRule="auto"/>
        <w:ind w:firstLine="567"/>
        <w:jc w:val="both"/>
        <w:rPr>
          <w:rFonts w:ascii="Cambria" w:hAnsi="Cambria" w:cstheme="majorHAnsi"/>
          <w:sz w:val="24"/>
          <w:szCs w:val="24"/>
        </w:rPr>
      </w:pPr>
      <w:r>
        <w:rPr>
          <w:rFonts w:ascii="Cambria" w:hAnsi="Cambria" w:cstheme="majorHAnsi"/>
          <w:sz w:val="24"/>
          <w:szCs w:val="24"/>
        </w:rPr>
        <w:t xml:space="preserve">Ademais, a contratação em lote único possibilita maior integração dos serviços, padronização dos procedimentos de manutenção, maior agilidade no atendimento das demandas da Secretaria Municipal de Saúde e melhor controle da execução contratual, </w:t>
      </w:r>
      <w:r>
        <w:rPr>
          <w:rFonts w:ascii="Cambria" w:hAnsi="Cambria" w:cstheme="majorHAnsi"/>
          <w:sz w:val="24"/>
          <w:szCs w:val="24"/>
        </w:rPr>
        <w:lastRenderedPageBreak/>
        <w:t>contribuindo para a continuidade das atividades administrativas e operacionais desenvolvidas pelo órgão.</w:t>
      </w:r>
    </w:p>
    <w:p>
      <w:pPr>
        <w:spacing w:line="259" w:lineRule="auto"/>
        <w:ind w:firstLine="567"/>
        <w:jc w:val="both"/>
        <w:rPr>
          <w:rFonts w:ascii="Cambria" w:hAnsi="Cambria" w:cstheme="majorHAnsi"/>
          <w:sz w:val="24"/>
          <w:szCs w:val="24"/>
        </w:rPr>
      </w:pPr>
      <w:r>
        <w:rPr>
          <w:rFonts w:ascii="Cambria" w:hAnsi="Cambria" w:cstheme="majorHAnsi"/>
          <w:sz w:val="24"/>
          <w:szCs w:val="24"/>
        </w:rPr>
        <w:t>Destaca-se, ainda, que a execução dos serviços ocorrerá de forma parcelada, conforme a necessidade da Administração, mediante emissão das respectivas ordens de serviço, observados os quantitativos estimados para o período contratual.</w:t>
      </w:r>
    </w:p>
    <w:p>
      <w:pPr>
        <w:spacing w:line="259" w:lineRule="auto"/>
        <w:ind w:firstLine="567"/>
        <w:jc w:val="both"/>
        <w:rPr>
          <w:rFonts w:ascii="Cambria" w:hAnsi="Cambria" w:cstheme="majorHAnsi"/>
          <w:sz w:val="24"/>
          <w:szCs w:val="24"/>
        </w:rPr>
      </w:pPr>
      <w:r>
        <w:rPr>
          <w:rFonts w:ascii="Cambria" w:hAnsi="Cambria" w:cstheme="majorHAnsi"/>
          <w:sz w:val="24"/>
          <w:szCs w:val="24"/>
        </w:rPr>
        <w:t>Dessa forma, conclui-se que a adjudicação por lote único mostra-se técnica e economicamente mais vantajosa para a Administração, assegurando maior eficiência, economicidade, controle da execução contratual e adequada prestação dos serviços necessários ao funcionamento dos equipamentos de impressão da Secretaria Municipal de Saúde.</w:t>
      </w:r>
    </w:p>
    <w:p>
      <w:pPr>
        <w:spacing w:line="259" w:lineRule="auto"/>
        <w:ind w:firstLine="567"/>
        <w:jc w:val="both"/>
        <w:rPr>
          <w:rFonts w:ascii="Cambria" w:hAnsi="Cambria" w:cstheme="majorHAnsi"/>
          <w:sz w:val="24"/>
          <w:szCs w:val="24"/>
        </w:rPr>
      </w:pPr>
    </w:p>
    <w:p>
      <w:pPr>
        <w:jc w:val="both"/>
        <w:rPr>
          <w:rFonts w:ascii="Cambria" w:hAnsi="Cambria" w:cstheme="majorHAnsi"/>
          <w:b/>
          <w:bCs/>
          <w:sz w:val="24"/>
          <w:szCs w:val="24"/>
        </w:rPr>
      </w:pPr>
      <w:r>
        <w:rPr>
          <w:rFonts w:ascii="Cambria" w:hAnsi="Cambria" w:cstheme="majorHAnsi"/>
          <w:b/>
          <w:bCs/>
          <w:sz w:val="24"/>
          <w:szCs w:val="24"/>
        </w:rPr>
        <w:t>9. DEMONSTRATIVO DOS RESULTADOS PRETENDIDOS</w:t>
      </w:r>
    </w:p>
    <w:p>
      <w:pPr>
        <w:ind w:firstLine="851"/>
        <w:jc w:val="both"/>
        <w:rPr>
          <w:rFonts w:ascii="Cambria" w:hAnsi="Cambria" w:cstheme="majorHAnsi"/>
          <w:sz w:val="24"/>
          <w:szCs w:val="24"/>
        </w:rPr>
      </w:pPr>
      <w:r>
        <w:rPr>
          <w:rFonts w:ascii="Cambria" w:hAnsi="Cambria" w:cstheme="majorHAnsi"/>
          <w:sz w:val="24"/>
          <w:szCs w:val="24"/>
        </w:rPr>
        <w:t>A contratação de empresa especializada para prestação de serviços de recarga de suprimentos de impressão, manutenção preventiva e corretiva de impressoras, incluindo o fornecimento e substituição de peças, componentes e materiais necessários à execução dos serviços, tem como objetivo assegurar o pleno funcionamento dos equipamentos utilizados pela Secretaria Municipal de Saúde do Município de Miraíma/CE.</w:t>
      </w:r>
    </w:p>
    <w:p>
      <w:pPr>
        <w:ind w:firstLine="851"/>
        <w:jc w:val="both"/>
        <w:rPr>
          <w:rFonts w:ascii="Cambria" w:hAnsi="Cambria" w:cstheme="majorHAnsi"/>
          <w:sz w:val="24"/>
          <w:szCs w:val="24"/>
        </w:rPr>
      </w:pPr>
      <w:r>
        <w:rPr>
          <w:rFonts w:ascii="Cambria" w:hAnsi="Cambria" w:cstheme="majorHAnsi"/>
          <w:sz w:val="24"/>
          <w:szCs w:val="24"/>
        </w:rPr>
        <w:t>Com a execução da contratação, pretende-se garantir a continuidade das atividades administrativas e operacionais desenvolvidas nas unidades de saúde e nos setores vinculados à Secretaria, evitando interrupções causadas por falhas nos equipamentos de impressão e assegurando a emissão regular de prontuários, receituários, formulários, relatórios, encaminhamentos, solicitações de exames e demais documentos indispensáveis à prestação dos serviços de saúde.</w:t>
      </w:r>
    </w:p>
    <w:p>
      <w:pPr>
        <w:ind w:firstLine="851"/>
        <w:jc w:val="both"/>
        <w:rPr>
          <w:rFonts w:ascii="Cambria" w:hAnsi="Cambria" w:cstheme="majorHAnsi"/>
          <w:sz w:val="24"/>
          <w:szCs w:val="24"/>
        </w:rPr>
      </w:pPr>
      <w:r>
        <w:rPr>
          <w:rFonts w:ascii="Cambria" w:hAnsi="Cambria" w:cstheme="majorHAnsi"/>
          <w:sz w:val="24"/>
          <w:szCs w:val="24"/>
        </w:rPr>
        <w:t>Busca-se, ainda, promover a conservação e o prolongamento da vida útil dos equipamentos, por meio da realização periódica de manutenções preventivas e corretivas, reduzindo a incidência de defeitos, minimizando o tempo de inatividade dos equipamentos e proporcionando maior eficiência na execução das rotinas administrativas.</w:t>
      </w:r>
    </w:p>
    <w:p>
      <w:pPr>
        <w:ind w:firstLine="851"/>
        <w:jc w:val="both"/>
        <w:rPr>
          <w:rFonts w:ascii="Cambria" w:hAnsi="Cambria" w:cstheme="majorHAnsi"/>
          <w:sz w:val="24"/>
          <w:szCs w:val="24"/>
        </w:rPr>
      </w:pPr>
      <w:r>
        <w:rPr>
          <w:rFonts w:ascii="Cambria" w:hAnsi="Cambria" w:cstheme="majorHAnsi"/>
          <w:sz w:val="24"/>
          <w:szCs w:val="24"/>
        </w:rPr>
        <w:t>Do ponto de vista da gestão pública, espera-se alcançar maior eficiência na aplicação dos recursos públicos, melhor controle dos serviços executados, redução da necessidade de contratações emergenciais e maior previsibilidade dos custos relacionados à manutenção dos equipamentos de impressão.</w:t>
      </w:r>
    </w:p>
    <w:p>
      <w:pPr>
        <w:ind w:firstLine="851"/>
        <w:jc w:val="both"/>
        <w:rPr>
          <w:rFonts w:ascii="Cambria" w:hAnsi="Cambria" w:cstheme="majorHAnsi"/>
          <w:sz w:val="24"/>
          <w:szCs w:val="24"/>
        </w:rPr>
      </w:pPr>
      <w:r>
        <w:rPr>
          <w:rFonts w:ascii="Cambria" w:hAnsi="Cambria" w:cstheme="majorHAnsi"/>
          <w:sz w:val="24"/>
          <w:szCs w:val="24"/>
        </w:rPr>
        <w:t>Dessa forma, os resultados pretendidos envolvem não apenas a adequada execução dos serviços contratados, mas também a garantia da continuidade dos serviços públicos de saúde, o fortalecimento da eficiência administrativa e a melhoria das condições de atendimento às demandas institucionais da Secretaria Municipal de Saúde do Município de Miraíma/CE.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10. PROVIDÊNCIAS PRÉ-CONTRATUAIS</w:t>
      </w:r>
    </w:p>
    <w:p>
      <w:pPr>
        <w:ind w:firstLine="851"/>
        <w:jc w:val="both"/>
        <w:rPr>
          <w:rFonts w:ascii="Cambria" w:hAnsi="Cambria" w:cstheme="majorHAnsi"/>
          <w:sz w:val="24"/>
          <w:szCs w:val="24"/>
        </w:rPr>
      </w:pPr>
      <w:r>
        <w:rPr>
          <w:rFonts w:ascii="Cambria" w:hAnsi="Cambria" w:cstheme="majorHAnsi"/>
          <w:sz w:val="24"/>
          <w:szCs w:val="24"/>
        </w:rPr>
        <w:t>Para a adequada formalização da contratação, deverão ser adotadas previamente as providências administrativas e técnicas necessárias à instrução do processo licitatório.</w:t>
      </w:r>
    </w:p>
    <w:p>
      <w:pPr>
        <w:ind w:firstLine="851"/>
        <w:jc w:val="both"/>
        <w:rPr>
          <w:rFonts w:ascii="Cambria" w:hAnsi="Cambria" w:cstheme="majorHAnsi"/>
          <w:sz w:val="24"/>
          <w:szCs w:val="24"/>
        </w:rPr>
      </w:pPr>
      <w:r>
        <w:rPr>
          <w:rFonts w:ascii="Cambria" w:hAnsi="Cambria" w:cstheme="majorHAnsi"/>
          <w:sz w:val="24"/>
          <w:szCs w:val="24"/>
        </w:rPr>
        <w:t>Inicialmente, deverá ser concluída a elaboração do Termo de Referência, contendo a descrição detalhada do objeto, especificações dos serviços, quantitativos estimados, condições de execução, obrigações da contratada, critérios de medição, recebimento e pagamento, bem como as demais condições necessárias à contratação.</w:t>
      </w:r>
    </w:p>
    <w:p>
      <w:pPr>
        <w:ind w:firstLine="851"/>
        <w:jc w:val="both"/>
        <w:rPr>
          <w:rFonts w:ascii="Cambria" w:hAnsi="Cambria" w:cstheme="majorHAnsi"/>
          <w:sz w:val="24"/>
          <w:szCs w:val="24"/>
        </w:rPr>
      </w:pPr>
      <w:r>
        <w:rPr>
          <w:rFonts w:ascii="Cambria" w:hAnsi="Cambria" w:cstheme="majorHAnsi"/>
          <w:sz w:val="24"/>
          <w:szCs w:val="24"/>
        </w:rPr>
        <w:t xml:space="preserve">Deverá ser realizada pesquisa formal de preços, observando-se os critérios estabelecidos na legislação vigente, para definição do valor estimado da contratação, bem como </w:t>
      </w:r>
      <w:r>
        <w:rPr>
          <w:rFonts w:ascii="Cambria" w:hAnsi="Cambria" w:cstheme="majorHAnsi"/>
          <w:sz w:val="24"/>
          <w:szCs w:val="24"/>
        </w:rPr>
        <w:lastRenderedPageBreak/>
        <w:t>a verificação da existência de dotação orçamentária suficiente para suportar a despesa e a emissão da respectiva reserva orçamentária.</w:t>
      </w:r>
    </w:p>
    <w:p>
      <w:pPr>
        <w:ind w:firstLine="851"/>
        <w:jc w:val="both"/>
        <w:rPr>
          <w:rFonts w:ascii="Cambria" w:hAnsi="Cambria" w:cstheme="majorHAnsi"/>
          <w:sz w:val="24"/>
          <w:szCs w:val="24"/>
        </w:rPr>
      </w:pPr>
      <w:r>
        <w:rPr>
          <w:rFonts w:ascii="Cambria" w:hAnsi="Cambria" w:cstheme="majorHAnsi"/>
          <w:sz w:val="24"/>
          <w:szCs w:val="24"/>
        </w:rPr>
        <w:t>A Administração deverá, ainda, designar os servidores responsáveis pela gestão e fiscalização contratual, os quais acompanharão a execução dos serviços, o atendimento das demandas, a substituição de peças e componentes, bem como o cumprimento das obrigações assumidas pela futura contratada.</w:t>
      </w:r>
    </w:p>
    <w:p>
      <w:pPr>
        <w:ind w:firstLine="851"/>
        <w:jc w:val="both"/>
        <w:rPr>
          <w:rFonts w:ascii="Cambria" w:hAnsi="Cambria" w:cstheme="majorHAnsi"/>
          <w:sz w:val="24"/>
          <w:szCs w:val="24"/>
        </w:rPr>
      </w:pPr>
      <w:r>
        <w:rPr>
          <w:rFonts w:ascii="Cambria" w:hAnsi="Cambria" w:cstheme="majorHAnsi"/>
          <w:sz w:val="24"/>
          <w:szCs w:val="24"/>
        </w:rPr>
        <w:t>Por fim, deverão ser adotadas as demais medidas necessárias à regular instrução processual, incluindo análise jurídica, autorização da autoridade competente e realização dos procedimentos inerentes ao Pregão Eletrônico, em conformidade com a Lei nº 14.133/2021 e demais normas aplicáveis.</w:t>
      </w:r>
    </w:p>
    <w:p>
      <w:pPr>
        <w:ind w:firstLine="851"/>
        <w:jc w:val="both"/>
        <w:rPr>
          <w:rFonts w:ascii="Cambria" w:hAnsi="Cambria" w:cstheme="majorHAnsi"/>
          <w:sz w:val="24"/>
          <w:szCs w:val="24"/>
        </w:rPr>
      </w:pPr>
      <w:r>
        <w:rPr>
          <w:rFonts w:ascii="Cambria" w:hAnsi="Cambria" w:cstheme="majorHAnsi"/>
          <w:sz w:val="24"/>
          <w:szCs w:val="24"/>
        </w:rPr>
        <w:t>O cumprimento dessas providências contribuirá para a adequada execução contratual, assegurando maior eficiência, transparência, controle e segurança na futura contratação.</w:t>
      </w:r>
    </w:p>
    <w:p>
      <w:pPr>
        <w:ind w:firstLine="851"/>
        <w:jc w:val="both"/>
        <w:rPr>
          <w:rFonts w:ascii="Cambria" w:hAnsi="Cambria" w:cstheme="majorHAnsi"/>
          <w:sz w:val="24"/>
          <w:szCs w:val="24"/>
        </w:rPr>
      </w:pPr>
    </w:p>
    <w:p>
      <w:pPr>
        <w:rPr>
          <w:rFonts w:ascii="Cambria" w:hAnsi="Cambria" w:cstheme="majorHAnsi"/>
          <w:b/>
          <w:bCs/>
          <w:sz w:val="24"/>
          <w:szCs w:val="24"/>
        </w:rPr>
      </w:pPr>
      <w:r>
        <w:rPr>
          <w:rFonts w:ascii="Cambria" w:hAnsi="Cambria" w:cstheme="majorHAnsi"/>
          <w:b/>
          <w:bCs/>
          <w:sz w:val="24"/>
          <w:szCs w:val="24"/>
        </w:rPr>
        <w:t>11. CONTRATAÇÕES CORRELATAS E/OU INTERDEPENDENTES</w:t>
      </w:r>
    </w:p>
    <w:p>
      <w:pPr>
        <w:ind w:firstLine="567"/>
        <w:jc w:val="both"/>
        <w:rPr>
          <w:rFonts w:ascii="Cambria" w:hAnsi="Cambria" w:cstheme="majorHAnsi"/>
          <w:sz w:val="24"/>
          <w:szCs w:val="24"/>
        </w:rPr>
      </w:pPr>
      <w:r>
        <w:rPr>
          <w:rFonts w:ascii="Cambria" w:hAnsi="Cambria" w:cstheme="majorHAnsi"/>
          <w:sz w:val="24"/>
          <w:szCs w:val="24"/>
        </w:rPr>
        <w:t>A presente contratação não possui dependência direta de outras contratações para sua execução, uma vez que o objeto, consistente na prestação de serviços de recarga de suprimentos de impressão, manutenção preventiva e corretiva de impressoras, incluindo o fornecimento e substituição de peças, componentes e materiais necessários à execução dos serviços, apresenta autonomia operacional e é suficiente para atender às necessidades da Secretaria Municipal de Saúde do Município de Miraíma/CE.</w:t>
      </w:r>
    </w:p>
    <w:p>
      <w:pPr>
        <w:ind w:firstLine="567"/>
        <w:jc w:val="both"/>
        <w:rPr>
          <w:rFonts w:ascii="Cambria" w:hAnsi="Cambria" w:cstheme="majorHAnsi"/>
          <w:sz w:val="24"/>
          <w:szCs w:val="24"/>
        </w:rPr>
      </w:pPr>
      <w:r>
        <w:rPr>
          <w:rFonts w:ascii="Cambria" w:hAnsi="Cambria" w:cstheme="majorHAnsi"/>
          <w:sz w:val="24"/>
          <w:szCs w:val="24"/>
        </w:rPr>
        <w:t>Todavia, a contratação guarda correlação com as atividades administrativas e operacionais desenvolvidas pelas unidades de saúde e pelos setores vinculados à Secretaria, uma vez que os equipamentos de impressão são utilizados na emissão de prontuários, receituários, solicitações de exames, relatórios, formulários, documentos administrativos e demais registros necessários ao funcionamento dos serviços de saúde.</w:t>
      </w:r>
    </w:p>
    <w:p>
      <w:pPr>
        <w:ind w:firstLine="567"/>
        <w:jc w:val="both"/>
        <w:rPr>
          <w:rFonts w:ascii="Cambria" w:hAnsi="Cambria" w:cstheme="majorHAnsi"/>
          <w:sz w:val="24"/>
          <w:szCs w:val="24"/>
        </w:rPr>
      </w:pPr>
      <w:r>
        <w:rPr>
          <w:rFonts w:ascii="Cambria" w:hAnsi="Cambria" w:cstheme="majorHAnsi"/>
          <w:sz w:val="24"/>
          <w:szCs w:val="24"/>
        </w:rPr>
        <w:t>Ressalta-se que tais atividades correlatas não constituem condição para a formalização ou execução da presente contratação, mas dependem do adequado funcionamento dos equipamentos de impressão para o pleno desenvolvimento das ações administrativas e assistenciais da Secretaria.</w:t>
      </w:r>
    </w:p>
    <w:p>
      <w:pPr>
        <w:ind w:firstLine="567"/>
        <w:jc w:val="both"/>
        <w:rPr>
          <w:rFonts w:ascii="Cambria" w:hAnsi="Cambria" w:cstheme="majorHAnsi"/>
          <w:sz w:val="24"/>
          <w:szCs w:val="24"/>
        </w:rPr>
      </w:pPr>
      <w:r>
        <w:rPr>
          <w:rFonts w:ascii="Cambria" w:hAnsi="Cambria" w:cstheme="majorHAnsi"/>
          <w:sz w:val="24"/>
          <w:szCs w:val="24"/>
        </w:rPr>
        <w:t>Dessa forma, conclui-se que a contratação é tecnicamente independente, embora esteja inserida em um conjunto mais amplo de atividades voltadas à manutenção da estrutura administrativa e operacional da rede municipal de saúde, contribuindo para a continuidade e eficiência dos serviços públicos prestados à população do Município de Miraíma/CE.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12. IMPACTOS AMBIENTAIS E MEDIDAS MITIGADORAS</w:t>
      </w:r>
    </w:p>
    <w:p>
      <w:pPr>
        <w:ind w:firstLine="851"/>
        <w:jc w:val="both"/>
        <w:rPr>
          <w:rFonts w:ascii="Cambria" w:hAnsi="Cambria" w:cstheme="majorHAnsi"/>
          <w:sz w:val="24"/>
          <w:szCs w:val="24"/>
        </w:rPr>
      </w:pPr>
      <w:r>
        <w:rPr>
          <w:rFonts w:ascii="Cambria" w:hAnsi="Cambria" w:cstheme="majorHAnsi"/>
          <w:sz w:val="24"/>
          <w:szCs w:val="24"/>
        </w:rPr>
        <w:t>A contratação poderá gerar impactos ambientais pontuais relacionados à geração de resíduos provenientes de toners, cartuchos, peças e componentes substituídos durante a execução dos serviços de manutenção das impressoras.</w:t>
      </w:r>
    </w:p>
    <w:p>
      <w:pPr>
        <w:ind w:firstLine="851"/>
        <w:jc w:val="both"/>
        <w:rPr>
          <w:rFonts w:ascii="Cambria" w:hAnsi="Cambria" w:cstheme="majorHAnsi"/>
          <w:sz w:val="24"/>
          <w:szCs w:val="24"/>
        </w:rPr>
      </w:pPr>
      <w:r>
        <w:rPr>
          <w:rFonts w:ascii="Cambria" w:hAnsi="Cambria" w:cstheme="majorHAnsi"/>
          <w:sz w:val="24"/>
          <w:szCs w:val="24"/>
        </w:rPr>
        <w:t>Tais impactos são considerados de baixa magnitude e podem ser mitigados mediante o adequado recolhimento, acondicionamento e descarte dos resíduos gerados, em conformidade com a legislação ambiental vigente, bem como pela destinação adequada dos materiais passíveis de reciclagem ou reaproveitamento.</w:t>
      </w:r>
    </w:p>
    <w:p>
      <w:pPr>
        <w:ind w:firstLine="851"/>
        <w:jc w:val="both"/>
        <w:rPr>
          <w:rFonts w:ascii="Cambria" w:hAnsi="Cambria" w:cstheme="majorHAnsi"/>
          <w:sz w:val="24"/>
          <w:szCs w:val="24"/>
        </w:rPr>
      </w:pPr>
      <w:r>
        <w:rPr>
          <w:rFonts w:ascii="Cambria" w:hAnsi="Cambria" w:cstheme="majorHAnsi"/>
          <w:sz w:val="24"/>
          <w:szCs w:val="24"/>
        </w:rPr>
        <w:t>Dessa forma, conclui-se que os impactos ambientais decorrentes da contratação são controláveis e não comprometem sua viabilidade, especialmente diante da importância dos serviços para a continuidade das atividades da Secretaria Municipal de Saúde.</w:t>
      </w:r>
    </w:p>
    <w:p>
      <w:pPr>
        <w:jc w:val="both"/>
        <w:rPr>
          <w:rFonts w:ascii="Cambria" w:hAnsi="Cambria" w:cstheme="majorHAnsi"/>
          <w:b/>
          <w:bCs/>
          <w:sz w:val="24"/>
          <w:szCs w:val="24"/>
        </w:rPr>
      </w:pPr>
    </w:p>
    <w:p>
      <w:pPr>
        <w:jc w:val="both"/>
        <w:rPr>
          <w:rFonts w:ascii="Cambria" w:hAnsi="Cambria" w:cstheme="majorHAnsi"/>
          <w:b/>
          <w:bCs/>
          <w:sz w:val="24"/>
          <w:szCs w:val="24"/>
        </w:rPr>
      </w:pPr>
      <w:r>
        <w:rPr>
          <w:rFonts w:ascii="Cambria" w:hAnsi="Cambria" w:cstheme="majorHAnsi"/>
          <w:b/>
          <w:bCs/>
          <w:sz w:val="24"/>
          <w:szCs w:val="24"/>
        </w:rPr>
        <w:t>13. POSICIONAMENTO CONCLUSIVO</w:t>
      </w:r>
    </w:p>
    <w:p>
      <w:pPr>
        <w:ind w:firstLine="851"/>
        <w:jc w:val="both"/>
        <w:rPr>
          <w:rFonts w:ascii="Cambria" w:hAnsi="Cambria" w:cstheme="majorHAnsi"/>
          <w:sz w:val="24"/>
          <w:szCs w:val="24"/>
        </w:rPr>
      </w:pPr>
      <w:r>
        <w:rPr>
          <w:rFonts w:ascii="Cambria" w:hAnsi="Cambria" w:cstheme="majorHAnsi"/>
          <w:sz w:val="24"/>
          <w:szCs w:val="24"/>
        </w:rPr>
        <w:t>Após a análise das necessidades da Secretaria Municipal de Saúde, das alternativas disponíveis no mercado, dos requisitos da contratação, dos aspectos técnicos, operacionais e orçamentários, conclui-se que a contratação de empresa especializada para prestação de serviços de recarga de suprimentos de impressão, manutenção preventiva e corretiva de impressoras, incluindo o fornecimento e substituição de peças, componentes e materiais necessários à execução dos serviços, mostra-se viável, adequada e vantajosa para a Administração Pública.</w:t>
      </w:r>
    </w:p>
    <w:p>
      <w:pPr>
        <w:ind w:firstLine="851"/>
        <w:jc w:val="both"/>
        <w:rPr>
          <w:rFonts w:ascii="Cambria" w:hAnsi="Cambria" w:cstheme="majorHAnsi"/>
          <w:sz w:val="24"/>
          <w:szCs w:val="24"/>
        </w:rPr>
      </w:pPr>
      <w:r>
        <w:rPr>
          <w:rFonts w:ascii="Cambria" w:hAnsi="Cambria" w:cstheme="majorHAnsi"/>
          <w:sz w:val="24"/>
          <w:szCs w:val="24"/>
        </w:rPr>
        <w:t>A solução proposta atende plenamente ao interesse público, contribuindo para a continuidade das atividades administrativas e operacionais da Secretaria, garantindo o adequado funcionamento dos equipamentos de impressão e promovendo maior eficiência na execução dos serviços públicos de saúde.</w:t>
      </w:r>
    </w:p>
    <w:p>
      <w:pPr>
        <w:ind w:firstLine="851"/>
        <w:jc w:val="both"/>
        <w:rPr>
          <w:rFonts w:ascii="Cambria" w:hAnsi="Cambria" w:cstheme="majorHAnsi"/>
          <w:sz w:val="24"/>
          <w:szCs w:val="24"/>
        </w:rPr>
      </w:pPr>
      <w:r>
        <w:rPr>
          <w:rFonts w:ascii="Cambria" w:hAnsi="Cambria" w:cstheme="majorHAnsi"/>
          <w:sz w:val="24"/>
          <w:szCs w:val="24"/>
        </w:rPr>
        <w:t>Dessa forma, manifesta-se favoravelmente pela continuidade do processo de contratação, por meio de Pregão Eletrônico, observadas as disposições da Lei nº 14.133/2021 e demais normas aplicáveis.</w:t>
      </w:r>
    </w:p>
    <w:p>
      <w:pPr>
        <w:pStyle w:val="PargrafodaLista"/>
        <w:tabs>
          <w:tab w:val="left" w:pos="284"/>
        </w:tabs>
        <w:autoSpaceDE w:val="0"/>
        <w:autoSpaceDN w:val="0"/>
        <w:adjustRightInd w:val="0"/>
        <w:ind w:left="0"/>
        <w:jc w:val="center"/>
        <w:rPr>
          <w:rFonts w:ascii="Cambria" w:hAnsi="Cambria" w:cstheme="minorHAnsi"/>
          <w:b/>
          <w:sz w:val="24"/>
          <w:szCs w:val="24"/>
        </w:rPr>
        <w:sectPr>
          <w:headerReference w:type="default" r:id="rId75"/>
          <w:footerReference w:type="even" r:id="rId76"/>
          <w:footerReference w:type="default" r:id="rId77"/>
          <w:pgSz w:w="11907" w:h="16840" w:code="9"/>
          <w:pgMar w:top="2410" w:right="1080" w:bottom="1560" w:left="1080" w:header="284" w:footer="0" w:gutter="0"/>
          <w:cols w:space="708"/>
          <w:docGrid w:linePitch="360"/>
        </w:sectPr>
      </w:pPr>
    </w:p>
    <w:bookmarkEnd w:id="67"/>
    <w:p>
      <w:pPr>
        <w:pStyle w:val="PargrafodaLista"/>
        <w:tabs>
          <w:tab w:val="left" w:pos="284"/>
        </w:tabs>
        <w:autoSpaceDE w:val="0"/>
        <w:autoSpaceDN w:val="0"/>
        <w:adjustRightInd w:val="0"/>
        <w:ind w:left="0"/>
        <w:jc w:val="center"/>
        <w:rPr>
          <w:rFonts w:ascii="Cambria" w:hAnsi="Cambria" w:cstheme="minorHAnsi"/>
          <w:b/>
          <w:sz w:val="24"/>
          <w:szCs w:val="24"/>
        </w:rPr>
      </w:pPr>
    </w:p>
    <w:p>
      <w:pPr>
        <w:pStyle w:val="Ttulo1"/>
        <w:numPr>
          <w:ilvl w:val="0"/>
          <w:numId w:val="0"/>
        </w:numPr>
        <w:shd w:val="clear" w:color="auto" w:fill="F2F2F2"/>
        <w:jc w:val="center"/>
        <w:rPr>
          <w:rFonts w:ascii="Cambria" w:hAnsi="Cambria" w:cstheme="minorHAnsi"/>
          <w:sz w:val="24"/>
          <w:szCs w:val="24"/>
        </w:rPr>
      </w:pPr>
      <w:bookmarkStart w:id="81" w:name="_Toc161741815"/>
      <w:bookmarkStart w:id="82" w:name="_Toc164093674"/>
      <w:r>
        <w:rPr>
          <w:rFonts w:ascii="Cambria" w:hAnsi="Cambria" w:cstheme="minorHAnsi"/>
          <w:sz w:val="24"/>
          <w:szCs w:val="24"/>
        </w:rPr>
        <w:t>ANEXO II - MODELO DA PROPOSTA DE PREÇOS</w:t>
      </w:r>
      <w:bookmarkEnd w:id="81"/>
      <w:bookmarkEnd w:id="82"/>
    </w:p>
    <w:p>
      <w:pPr>
        <w:ind w:right="283"/>
        <w:jc w:val="both"/>
        <w:rPr>
          <w:rFonts w:ascii="Cambria" w:hAnsi="Cambria" w:cstheme="minorHAnsi"/>
          <w:sz w:val="24"/>
          <w:szCs w:val="24"/>
        </w:rPr>
      </w:pPr>
    </w:p>
    <w:p>
      <w:pPr>
        <w:spacing w:line="276" w:lineRule="auto"/>
        <w:ind w:right="283"/>
        <w:jc w:val="both"/>
        <w:rPr>
          <w:rFonts w:ascii="Cambria" w:hAnsi="Cambria" w:cstheme="minorHAnsi"/>
          <w:sz w:val="24"/>
          <w:szCs w:val="24"/>
        </w:rPr>
      </w:pPr>
      <w:r>
        <w:rPr>
          <w:rFonts w:ascii="Cambria" w:hAnsi="Cambria" w:cstheme="minorHAnsi"/>
          <w:sz w:val="24"/>
          <w:szCs w:val="24"/>
        </w:rPr>
        <w:t>A(O) PREGOEIRO(A) DA PREFEITURA MUNICIPAL DE [MUNICÍPIO].</w:t>
      </w:r>
    </w:p>
    <w:p>
      <w:pPr>
        <w:spacing w:line="276" w:lineRule="auto"/>
        <w:ind w:left="142" w:right="283" w:firstLine="1134"/>
        <w:jc w:val="both"/>
        <w:rPr>
          <w:rFonts w:ascii="Cambria" w:hAnsi="Cambria" w:cstheme="minorHAnsi"/>
          <w:b/>
          <w:sz w:val="24"/>
          <w:szCs w:val="24"/>
        </w:rPr>
      </w:pPr>
    </w:p>
    <w:p>
      <w:pPr>
        <w:spacing w:line="276" w:lineRule="auto"/>
        <w:jc w:val="both"/>
        <w:rPr>
          <w:rFonts w:ascii="Cambria" w:hAnsi="Cambria" w:cstheme="minorHAnsi"/>
          <w:b/>
          <w:bCs/>
          <w:sz w:val="24"/>
          <w:szCs w:val="24"/>
        </w:rPr>
      </w:pPr>
      <w:r>
        <w:rPr>
          <w:rFonts w:ascii="Cambria" w:hAnsi="Cambria" w:cstheme="minorHAnsi"/>
          <w:sz w:val="24"/>
          <w:szCs w:val="24"/>
        </w:rPr>
        <w:t>Processo: PREGÃO ELETRÔNICO Nº [</w:t>
      </w:r>
      <w:r>
        <w:rPr>
          <w:rFonts w:ascii="Cambria" w:hAnsi="Cambria" w:cstheme="minorHAnsi"/>
          <w:b/>
          <w:sz w:val="24"/>
          <w:szCs w:val="24"/>
        </w:rPr>
        <w:t>NÚMERO DO PREGÃO</w:t>
      </w:r>
      <w:r>
        <w:rPr>
          <w:rFonts w:ascii="Cambria" w:hAnsi="Cambria" w:cstheme="minorHAnsi"/>
          <w:sz w:val="24"/>
          <w:szCs w:val="24"/>
        </w:rPr>
        <w:t>]</w:t>
      </w:r>
    </w:p>
    <w:p>
      <w:pPr>
        <w:spacing w:line="276" w:lineRule="auto"/>
        <w:jc w:val="both"/>
        <w:rPr>
          <w:rFonts w:ascii="Cambria" w:hAnsi="Cambria" w:cstheme="minorHAnsi"/>
          <w:sz w:val="24"/>
          <w:szCs w:val="24"/>
        </w:rPr>
      </w:pPr>
      <w:r>
        <w:rPr>
          <w:rFonts w:ascii="Cambria" w:hAnsi="Cambria" w:cstheme="minorHAnsi"/>
          <w:sz w:val="24"/>
          <w:szCs w:val="24"/>
        </w:rPr>
        <w:t>Data e Hora de Abertura: ___________________ às ________ horas</w:t>
      </w:r>
    </w:p>
    <w:p>
      <w:pPr>
        <w:spacing w:line="276" w:lineRule="auto"/>
        <w:jc w:val="both"/>
        <w:rPr>
          <w:rFonts w:ascii="Cambria" w:hAnsi="Cambria" w:cstheme="minorHAnsi"/>
          <w:sz w:val="24"/>
          <w:szCs w:val="24"/>
        </w:rPr>
      </w:pPr>
      <w:r>
        <w:rPr>
          <w:rFonts w:ascii="Cambria" w:hAnsi="Cambria" w:cstheme="minorHAnsi"/>
          <w:sz w:val="24"/>
          <w:szCs w:val="24"/>
        </w:rPr>
        <w:t>Razão Social: ____ CNPJ: ___________</w:t>
      </w:r>
    </w:p>
    <w:p>
      <w:pPr>
        <w:spacing w:line="276" w:lineRule="auto"/>
        <w:jc w:val="both"/>
        <w:rPr>
          <w:rFonts w:ascii="Cambria" w:hAnsi="Cambria" w:cstheme="minorHAnsi"/>
          <w:sz w:val="24"/>
          <w:szCs w:val="24"/>
        </w:rPr>
      </w:pPr>
      <w:r>
        <w:rPr>
          <w:rFonts w:ascii="Cambria" w:hAnsi="Cambria" w:cstheme="minorHAnsi"/>
          <w:sz w:val="24"/>
          <w:szCs w:val="24"/>
        </w:rPr>
        <w:t>Endereço: ______ CEP: ___</w:t>
      </w:r>
    </w:p>
    <w:p>
      <w:pPr>
        <w:spacing w:line="276" w:lineRule="auto"/>
        <w:jc w:val="both"/>
        <w:rPr>
          <w:rFonts w:ascii="Cambria" w:hAnsi="Cambria" w:cstheme="minorHAnsi"/>
          <w:sz w:val="24"/>
          <w:szCs w:val="24"/>
        </w:rPr>
      </w:pPr>
      <w:r>
        <w:rPr>
          <w:rFonts w:ascii="Cambria" w:hAnsi="Cambria" w:cstheme="minorHAnsi"/>
          <w:sz w:val="24"/>
          <w:szCs w:val="24"/>
        </w:rPr>
        <w:t>Fone: _____ Fax: ________</w:t>
      </w:r>
    </w:p>
    <w:p>
      <w:pPr>
        <w:spacing w:line="276" w:lineRule="auto"/>
        <w:jc w:val="both"/>
        <w:rPr>
          <w:rFonts w:ascii="Cambria" w:hAnsi="Cambria" w:cstheme="minorHAnsi"/>
          <w:sz w:val="24"/>
          <w:szCs w:val="24"/>
        </w:rPr>
      </w:pPr>
      <w:r>
        <w:rPr>
          <w:rFonts w:ascii="Cambria" w:hAnsi="Cambria" w:cstheme="minorHAnsi"/>
          <w:sz w:val="24"/>
          <w:szCs w:val="24"/>
        </w:rPr>
        <w:t>Banco: ____ Agência N.º: _______ Conta Corrente n.º: ___</w:t>
      </w:r>
    </w:p>
    <w:p>
      <w:pPr>
        <w:spacing w:line="276" w:lineRule="auto"/>
        <w:jc w:val="both"/>
        <w:rPr>
          <w:rFonts w:ascii="Cambria" w:hAnsi="Cambria" w:cstheme="minorHAnsi"/>
          <w:b/>
          <w:sz w:val="24"/>
          <w:szCs w:val="24"/>
        </w:rPr>
      </w:pPr>
      <w:r>
        <w:rPr>
          <w:rFonts w:ascii="Cambria" w:hAnsi="Cambria" w:cstheme="minorHAnsi"/>
          <w:b/>
          <w:sz w:val="24"/>
          <w:szCs w:val="24"/>
        </w:rPr>
        <w:t>E-mail:________________________________________</w:t>
      </w:r>
    </w:p>
    <w:p>
      <w:pPr>
        <w:spacing w:line="276" w:lineRule="auto"/>
        <w:jc w:val="both"/>
        <w:rPr>
          <w:rFonts w:ascii="Cambria" w:hAnsi="Cambria" w:cstheme="minorHAnsi"/>
          <w:b/>
          <w:sz w:val="24"/>
          <w:szCs w:val="24"/>
        </w:rPr>
      </w:pPr>
    </w:p>
    <w:p>
      <w:pPr>
        <w:spacing w:line="276" w:lineRule="auto"/>
        <w:jc w:val="both"/>
        <w:rPr>
          <w:rFonts w:ascii="Cambria" w:hAnsi="Cambria" w:cstheme="minorHAnsi"/>
          <w:b/>
          <w:sz w:val="24"/>
          <w:szCs w:val="24"/>
        </w:rPr>
      </w:pPr>
      <w:r>
        <w:rPr>
          <w:rFonts w:ascii="Cambria" w:hAnsi="Cambria" w:cstheme="minorHAnsi"/>
          <w:b/>
          <w:sz w:val="24"/>
          <w:szCs w:val="24"/>
        </w:rPr>
        <w:t xml:space="preserve">OBJETO: </w:t>
      </w:r>
      <w:r>
        <w:rPr>
          <w:rFonts w:ascii="Cambria" w:hAnsi="Cambria" w:cstheme="minorHAnsi"/>
          <w:sz w:val="24"/>
          <w:szCs w:val="24"/>
        </w:rPr>
        <w:t>&lt;OBJETO&gt;.</w:t>
      </w:r>
    </w:p>
    <w:p>
      <w:pPr>
        <w:spacing w:line="276" w:lineRule="auto"/>
        <w:jc w:val="both"/>
        <w:rPr>
          <w:rFonts w:ascii="Cambria" w:hAnsi="Cambria" w:cstheme="minorHAnsi"/>
          <w:b/>
          <w:sz w:val="24"/>
          <w:szCs w:val="24"/>
        </w:rPr>
      </w:pPr>
    </w:p>
    <w:tbl>
      <w:tblPr>
        <w:tblW w:w="9776" w:type="dxa"/>
        <w:jc w:val="center"/>
        <w:tblCellMar>
          <w:left w:w="70" w:type="dxa"/>
          <w:right w:w="70" w:type="dxa"/>
        </w:tblCellMar>
        <w:tblLook w:val="04A0" w:firstRow="1" w:lastRow="0" w:firstColumn="1" w:lastColumn="0" w:noHBand="0" w:noVBand="1"/>
      </w:tblPr>
      <w:tblGrid>
        <w:gridCol w:w="782"/>
        <w:gridCol w:w="4175"/>
        <w:gridCol w:w="811"/>
        <w:gridCol w:w="1007"/>
        <w:gridCol w:w="1364"/>
        <w:gridCol w:w="1637"/>
      </w:tblGrid>
      <w:tr>
        <w:trPr>
          <w:trHeight w:val="109"/>
          <w:jc w:val="center"/>
        </w:trPr>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ITEM</w:t>
            </w:r>
          </w:p>
        </w:tc>
        <w:tc>
          <w:tcPr>
            <w:tcW w:w="41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sz w:val="24"/>
                <w:szCs w:val="24"/>
              </w:rPr>
              <w:t>ESPECIFICAÇÕES</w:t>
            </w:r>
          </w:p>
        </w:tc>
        <w:tc>
          <w:tcPr>
            <w:tcW w:w="8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UNID</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QUANT</w:t>
            </w:r>
          </w:p>
        </w:tc>
        <w:tc>
          <w:tcPr>
            <w:tcW w:w="136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pPr>
              <w:spacing w:line="276" w:lineRule="auto"/>
              <w:jc w:val="center"/>
              <w:rPr>
                <w:rFonts w:ascii="Cambria" w:hAnsi="Cambria" w:cstheme="minorHAnsi"/>
                <w:b/>
                <w:bCs/>
                <w:sz w:val="24"/>
                <w:szCs w:val="24"/>
              </w:rPr>
            </w:pPr>
            <w:r>
              <w:rPr>
                <w:rFonts w:ascii="Cambria" w:hAnsi="Cambria" w:cstheme="minorHAnsi"/>
                <w:b/>
                <w:bCs/>
                <w:sz w:val="24"/>
                <w:szCs w:val="24"/>
              </w:rPr>
              <w:t>VLR UNIT</w:t>
            </w:r>
          </w:p>
        </w:tc>
        <w:tc>
          <w:tcPr>
            <w:tcW w:w="1637" w:type="dxa"/>
            <w:tcBorders>
              <w:top w:val="single" w:sz="4" w:space="0" w:color="auto"/>
              <w:left w:val="nil"/>
              <w:bottom w:val="single" w:sz="4" w:space="0" w:color="auto"/>
              <w:right w:val="single" w:sz="4" w:space="0" w:color="auto"/>
            </w:tcBorders>
            <w:shd w:val="clear" w:color="auto" w:fill="D9D9D9" w:themeFill="background1" w:themeFillShade="D9"/>
            <w:hideMark/>
          </w:tcPr>
          <w:p>
            <w:pPr>
              <w:spacing w:line="276" w:lineRule="auto"/>
              <w:jc w:val="center"/>
              <w:rPr>
                <w:rFonts w:ascii="Cambria" w:hAnsi="Cambria" w:cstheme="minorHAnsi"/>
                <w:b/>
                <w:bCs/>
                <w:sz w:val="24"/>
                <w:szCs w:val="24"/>
              </w:rPr>
            </w:pPr>
            <w:r>
              <w:rPr>
                <w:rFonts w:ascii="Cambria" w:hAnsi="Cambria" w:cstheme="minorHAnsi"/>
                <w:b/>
                <w:bCs/>
                <w:sz w:val="24"/>
                <w:szCs w:val="24"/>
              </w:rPr>
              <w:t>VLR TOTAL</w:t>
            </w:r>
          </w:p>
        </w:tc>
      </w:tr>
      <w:tr>
        <w:trPr>
          <w:trHeight w:val="300"/>
          <w:jc w:val="center"/>
        </w:trPr>
        <w:tc>
          <w:tcPr>
            <w:tcW w:w="782" w:type="dxa"/>
            <w:tcBorders>
              <w:top w:val="single" w:sz="4" w:space="0" w:color="auto"/>
              <w:left w:val="single" w:sz="4" w:space="0" w:color="auto"/>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01</w:t>
            </w:r>
          </w:p>
        </w:tc>
        <w:tc>
          <w:tcPr>
            <w:tcW w:w="4175" w:type="dxa"/>
            <w:tcBorders>
              <w:top w:val="single" w:sz="4" w:space="0" w:color="auto"/>
              <w:left w:val="nil"/>
              <w:bottom w:val="single" w:sz="4" w:space="0" w:color="auto"/>
              <w:right w:val="single" w:sz="4" w:space="0" w:color="auto"/>
            </w:tcBorders>
            <w:vAlign w:val="center"/>
            <w:hideMark/>
          </w:tcPr>
          <w:p>
            <w:pPr>
              <w:spacing w:line="276" w:lineRule="auto"/>
              <w:jc w:val="both"/>
              <w:rPr>
                <w:rFonts w:ascii="Cambria" w:hAnsi="Cambria" w:cstheme="minorHAnsi"/>
                <w:bCs/>
                <w:sz w:val="24"/>
                <w:szCs w:val="24"/>
              </w:rPr>
            </w:pPr>
          </w:p>
        </w:tc>
        <w:tc>
          <w:tcPr>
            <w:tcW w:w="811"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CHP</w:t>
            </w:r>
          </w:p>
        </w:tc>
        <w:tc>
          <w:tcPr>
            <w:tcW w:w="1007"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r>
              <w:rPr>
                <w:rFonts w:ascii="Cambria" w:hAnsi="Cambria" w:cstheme="minorHAnsi"/>
                <w:bCs/>
                <w:sz w:val="24"/>
                <w:szCs w:val="24"/>
              </w:rPr>
              <w:t>500</w:t>
            </w:r>
          </w:p>
        </w:tc>
        <w:tc>
          <w:tcPr>
            <w:tcW w:w="1364"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p>
        </w:tc>
        <w:tc>
          <w:tcPr>
            <w:tcW w:w="1637" w:type="dxa"/>
            <w:tcBorders>
              <w:top w:val="single" w:sz="4" w:space="0" w:color="auto"/>
              <w:left w:val="nil"/>
              <w:bottom w:val="single" w:sz="4" w:space="0" w:color="auto"/>
              <w:right w:val="single" w:sz="4" w:space="0" w:color="auto"/>
            </w:tcBorders>
            <w:vAlign w:val="center"/>
            <w:hideMark/>
          </w:tcPr>
          <w:p>
            <w:pPr>
              <w:spacing w:line="276" w:lineRule="auto"/>
              <w:jc w:val="center"/>
              <w:rPr>
                <w:rFonts w:ascii="Cambria" w:hAnsi="Cambria" w:cstheme="minorHAnsi"/>
                <w:bCs/>
                <w:sz w:val="24"/>
                <w:szCs w:val="24"/>
              </w:rPr>
            </w:pPr>
          </w:p>
        </w:tc>
      </w:tr>
      <w:tr>
        <w:trPr>
          <w:trHeight w:val="300"/>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pPr>
              <w:spacing w:line="276" w:lineRule="auto"/>
              <w:jc w:val="both"/>
              <w:rPr>
                <w:rFonts w:ascii="Cambria" w:hAnsi="Cambria" w:cstheme="minorHAnsi"/>
                <w:b/>
                <w:sz w:val="24"/>
                <w:szCs w:val="24"/>
              </w:rPr>
            </w:pPr>
            <w:r>
              <w:rPr>
                <w:rFonts w:ascii="Cambria" w:hAnsi="Cambria" w:cstheme="minorHAnsi"/>
                <w:b/>
                <w:sz w:val="24"/>
                <w:szCs w:val="24"/>
              </w:rPr>
              <w:t>Valor:</w:t>
            </w:r>
          </w:p>
        </w:tc>
      </w:tr>
    </w:tbl>
    <w:p>
      <w:pPr>
        <w:spacing w:line="276" w:lineRule="auto"/>
        <w:jc w:val="both"/>
        <w:rPr>
          <w:rFonts w:ascii="Cambria" w:hAnsi="Cambria" w:cstheme="minorHAnsi"/>
          <w:b/>
          <w:sz w:val="24"/>
          <w:szCs w:val="24"/>
        </w:rPr>
      </w:pPr>
    </w:p>
    <w:p>
      <w:pPr>
        <w:spacing w:line="276" w:lineRule="auto"/>
        <w:jc w:val="both"/>
        <w:rPr>
          <w:rFonts w:ascii="Cambria" w:hAnsi="Cambria" w:cstheme="minorHAnsi"/>
          <w:sz w:val="24"/>
          <w:szCs w:val="24"/>
        </w:rPr>
      </w:pPr>
      <w:r>
        <w:rPr>
          <w:rFonts w:ascii="Cambria" w:hAnsi="Cambria" w:cstheme="minorHAnsi"/>
          <w:b/>
          <w:sz w:val="24"/>
          <w:szCs w:val="24"/>
        </w:rPr>
        <w:t xml:space="preserve">VALOR DO LOTE: </w:t>
      </w:r>
      <w:r>
        <w:rPr>
          <w:rFonts w:ascii="Cambria" w:hAnsi="Cambria" w:cstheme="minorHAnsi"/>
          <w:sz w:val="24"/>
          <w:szCs w:val="24"/>
        </w:rPr>
        <w:t>R$ .......................</w:t>
      </w:r>
    </w:p>
    <w:p>
      <w:pPr>
        <w:spacing w:line="276" w:lineRule="auto"/>
        <w:rPr>
          <w:rFonts w:ascii="Cambria" w:hAnsi="Cambria" w:cstheme="minorHAnsi"/>
          <w:sz w:val="24"/>
          <w:szCs w:val="24"/>
        </w:rPr>
      </w:pPr>
      <w:r>
        <w:rPr>
          <w:rFonts w:ascii="Cambria" w:hAnsi="Cambria" w:cstheme="minorHAnsi"/>
          <w:b/>
          <w:sz w:val="24"/>
          <w:szCs w:val="24"/>
        </w:rPr>
        <w:t xml:space="preserve">VALIDADE DA PROPOSTA: </w:t>
      </w:r>
      <w:r>
        <w:rPr>
          <w:rFonts w:ascii="Cambria" w:hAnsi="Cambria" w:cstheme="minorHAnsi"/>
          <w:sz w:val="24"/>
          <w:szCs w:val="24"/>
        </w:rPr>
        <w:t>60 (sessenta) dias.</w:t>
      </w:r>
    </w:p>
    <w:p>
      <w:pPr>
        <w:spacing w:line="276" w:lineRule="auto"/>
        <w:jc w:val="both"/>
        <w:rPr>
          <w:rFonts w:ascii="Cambria" w:hAnsi="Cambria" w:cstheme="minorHAnsi"/>
          <w:sz w:val="24"/>
          <w:szCs w:val="24"/>
        </w:rPr>
      </w:pPr>
    </w:p>
    <w:p>
      <w:pPr>
        <w:tabs>
          <w:tab w:val="left" w:pos="3726"/>
        </w:tabs>
        <w:spacing w:line="276" w:lineRule="auto"/>
        <w:rPr>
          <w:rFonts w:ascii="Cambria" w:hAnsi="Cambria" w:cstheme="minorHAnsi"/>
          <w:b/>
          <w:sz w:val="24"/>
          <w:szCs w:val="24"/>
        </w:rPr>
      </w:pPr>
      <w:r>
        <w:rPr>
          <w:rFonts w:ascii="Cambria" w:hAnsi="Cambria" w:cstheme="minorHAnsi"/>
          <w:b/>
          <w:sz w:val="24"/>
          <w:szCs w:val="24"/>
        </w:rPr>
        <w:t>Observações:</w:t>
      </w:r>
    </w:p>
    <w:p>
      <w:pPr>
        <w:pStyle w:val="Cabealho"/>
        <w:numPr>
          <w:ilvl w:val="0"/>
          <w:numId w:val="30"/>
        </w:numPr>
        <w:spacing w:line="276" w:lineRule="auto"/>
        <w:jc w:val="both"/>
        <w:rPr>
          <w:rFonts w:ascii="Cambria" w:hAnsi="Cambria" w:cstheme="minorHAnsi"/>
          <w:szCs w:val="24"/>
        </w:rPr>
      </w:pPr>
      <w:r>
        <w:rPr>
          <w:rFonts w:ascii="Cambria" w:hAnsi="Cambria" w:cstheme="minorHAnsi"/>
          <w:szCs w:val="24"/>
        </w:rPr>
        <w:t>O proponente declara que tem o pleno conhecimento, aceitação e cumprirá todas as obrigações contidas no anexo 01 –Termo de Referência deste edital.</w:t>
      </w:r>
    </w:p>
    <w:p>
      <w:pPr>
        <w:pStyle w:val="Cabealho"/>
        <w:numPr>
          <w:ilvl w:val="0"/>
          <w:numId w:val="30"/>
        </w:numPr>
        <w:spacing w:line="276" w:lineRule="auto"/>
        <w:jc w:val="both"/>
        <w:rPr>
          <w:rFonts w:ascii="Cambria" w:hAnsi="Cambria" w:cstheme="minorHAnsi"/>
          <w:szCs w:val="24"/>
        </w:rPr>
      </w:pPr>
      <w:r>
        <w:rPr>
          <w:rFonts w:ascii="Cambria" w:hAnsi="Cambria" w:cstheme="minorHAnsi"/>
          <w:szCs w:val="24"/>
        </w:rPr>
        <w:t>Independente de declaração expressa, fica subentendida que no valor proposto estão incluídas todas as despesas necessárias ao fornecimento, inclusive as relacionadas com:</w:t>
      </w:r>
    </w:p>
    <w:p>
      <w:pPr>
        <w:spacing w:line="276" w:lineRule="auto"/>
        <w:ind w:left="284"/>
        <w:jc w:val="both"/>
        <w:rPr>
          <w:rFonts w:ascii="Cambria" w:hAnsi="Cambria" w:cstheme="minorHAnsi"/>
          <w:sz w:val="24"/>
          <w:szCs w:val="24"/>
        </w:rPr>
      </w:pPr>
      <w:r>
        <w:rPr>
          <w:rFonts w:ascii="Cambria" w:hAnsi="Cambria" w:cstheme="minorHAnsi"/>
          <w:sz w:val="24"/>
          <w:szCs w:val="24"/>
        </w:rPr>
        <w:t>- Encargos sociais, trabalhistas, previdenciários e outros;</w:t>
      </w:r>
    </w:p>
    <w:p>
      <w:pPr>
        <w:spacing w:line="276" w:lineRule="auto"/>
        <w:ind w:left="284"/>
        <w:jc w:val="both"/>
        <w:rPr>
          <w:rFonts w:ascii="Cambria" w:hAnsi="Cambria" w:cstheme="minorHAnsi"/>
          <w:sz w:val="24"/>
          <w:szCs w:val="24"/>
        </w:rPr>
      </w:pPr>
      <w:r>
        <w:rPr>
          <w:rFonts w:ascii="Cambria" w:hAnsi="Cambria" w:cstheme="minorHAnsi"/>
          <w:sz w:val="24"/>
          <w:szCs w:val="24"/>
        </w:rPr>
        <w:t>- tributos, taxas E tarifas, emolumentos, licenças, alvarás, multas e/ou qualquer infrações;</w:t>
      </w:r>
    </w:p>
    <w:p>
      <w:pPr>
        <w:spacing w:line="276" w:lineRule="auto"/>
        <w:ind w:left="284"/>
        <w:jc w:val="both"/>
        <w:rPr>
          <w:rFonts w:ascii="Cambria" w:hAnsi="Cambria" w:cstheme="minorHAnsi"/>
          <w:sz w:val="24"/>
          <w:szCs w:val="24"/>
        </w:rPr>
      </w:pPr>
      <w:r>
        <w:rPr>
          <w:rFonts w:ascii="Cambria" w:hAnsi="Cambria" w:cstheme="minorHAnsi"/>
          <w:sz w:val="24"/>
          <w:szCs w:val="24"/>
        </w:rPr>
        <w:t>- seguros em geral, da infortunística e de responsabilidade civil para quaisquer danos e prejuízos causados à Contratante e/ou a terceiros, gerados direta ou indiretamente pelo fornecimento.</w:t>
      </w:r>
    </w:p>
    <w:p>
      <w:pPr>
        <w:spacing w:line="276" w:lineRule="auto"/>
        <w:jc w:val="center"/>
        <w:rPr>
          <w:rFonts w:ascii="Cambria" w:hAnsi="Cambria" w:cstheme="minorHAnsi"/>
          <w:b/>
          <w:sz w:val="24"/>
          <w:szCs w:val="24"/>
        </w:rPr>
      </w:pPr>
    </w:p>
    <w:p>
      <w:pPr>
        <w:jc w:val="center"/>
        <w:rPr>
          <w:rFonts w:ascii="Cambria" w:hAnsi="Cambria" w:cstheme="minorHAnsi"/>
          <w:b/>
          <w:sz w:val="24"/>
          <w:szCs w:val="24"/>
        </w:rPr>
      </w:pPr>
      <w:r>
        <w:rPr>
          <w:rFonts w:ascii="Cambria" w:hAnsi="Cambria" w:cstheme="minorHAnsi"/>
          <w:b/>
          <w:sz w:val="24"/>
          <w:szCs w:val="24"/>
        </w:rPr>
        <w:t>Local/Data: ...................., ........... de ............................ de ......................</w:t>
      </w:r>
    </w:p>
    <w:p>
      <w:pPr>
        <w:tabs>
          <w:tab w:val="left" w:pos="1427"/>
        </w:tabs>
        <w:rPr>
          <w:rFonts w:ascii="Cambria" w:hAnsi="Cambria" w:cstheme="minorHAnsi"/>
          <w:sz w:val="24"/>
          <w:szCs w:val="24"/>
        </w:rPr>
      </w:pPr>
      <w:r>
        <w:rPr>
          <w:rFonts w:ascii="Cambria" w:hAnsi="Cambria" w:cstheme="minorHAnsi"/>
          <w:b/>
          <w:sz w:val="24"/>
          <w:szCs w:val="24"/>
        </w:rPr>
        <w:tab/>
      </w:r>
      <w:r>
        <w:rPr>
          <w:rFonts w:ascii="Cambria" w:hAnsi="Cambria" w:cstheme="minorHAnsi"/>
          <w:sz w:val="24"/>
          <w:szCs w:val="24"/>
        </w:rPr>
        <w:tab/>
      </w:r>
      <w:r>
        <w:rPr>
          <w:rFonts w:ascii="Cambria" w:hAnsi="Cambria" w:cstheme="minorHAnsi"/>
          <w:sz w:val="24"/>
          <w:szCs w:val="24"/>
        </w:rPr>
        <w:tab/>
      </w:r>
    </w:p>
    <w:p>
      <w:pPr>
        <w:pStyle w:val="Cabealho"/>
        <w:tabs>
          <w:tab w:val="left" w:pos="708"/>
        </w:tabs>
        <w:jc w:val="center"/>
        <w:rPr>
          <w:rFonts w:ascii="Cambria" w:hAnsi="Cambria" w:cstheme="minorHAnsi"/>
          <w:b/>
          <w:bCs/>
          <w:szCs w:val="24"/>
        </w:rPr>
      </w:pPr>
      <w:r>
        <w:rPr>
          <w:rFonts w:ascii="Cambria" w:hAnsi="Cambria" w:cstheme="minorHAnsi"/>
          <w:b/>
          <w:bCs/>
          <w:szCs w:val="24"/>
        </w:rPr>
        <w:t>Assinatura Proponente</w:t>
      </w:r>
    </w:p>
    <w:p>
      <w:pPr>
        <w:pStyle w:val="Cabealho"/>
        <w:tabs>
          <w:tab w:val="left" w:pos="708"/>
        </w:tabs>
        <w:jc w:val="center"/>
        <w:rPr>
          <w:rFonts w:ascii="Cambria" w:hAnsi="Cambria" w:cstheme="minorHAnsi"/>
          <w:b/>
          <w:bCs/>
          <w:szCs w:val="24"/>
        </w:rPr>
      </w:pPr>
      <w:r>
        <w:rPr>
          <w:rFonts w:ascii="Cambria" w:hAnsi="Cambria" w:cstheme="minorHAnsi"/>
          <w:b/>
          <w:bCs/>
          <w:szCs w:val="24"/>
        </w:rPr>
        <w:t>Carimbo da empresa/Assinatura do responsável legal</w:t>
      </w:r>
    </w:p>
    <w:p>
      <w:pPr>
        <w:pStyle w:val="Cabealho"/>
        <w:tabs>
          <w:tab w:val="left" w:pos="708"/>
        </w:tabs>
        <w:jc w:val="center"/>
        <w:rPr>
          <w:rFonts w:ascii="Cambria" w:hAnsi="Cambria" w:cstheme="minorHAnsi"/>
          <w:b/>
          <w:bCs/>
          <w:szCs w:val="24"/>
        </w:rPr>
        <w:sectPr>
          <w:pgSz w:w="11907" w:h="16840" w:code="9"/>
          <w:pgMar w:top="2410" w:right="1080" w:bottom="1560" w:left="1080" w:header="284" w:footer="0" w:gutter="0"/>
          <w:cols w:space="708"/>
          <w:docGrid w:linePitch="360"/>
        </w:sectPr>
      </w:pPr>
    </w:p>
    <w:p>
      <w:pPr>
        <w:pStyle w:val="Cabealho"/>
        <w:tabs>
          <w:tab w:val="left" w:pos="708"/>
        </w:tabs>
        <w:jc w:val="center"/>
        <w:rPr>
          <w:rFonts w:ascii="Cambria" w:hAnsi="Cambria" w:cstheme="minorHAnsi"/>
          <w:b/>
          <w:bCs/>
          <w:szCs w:val="24"/>
        </w:rPr>
      </w:pPr>
    </w:p>
    <w:p>
      <w:pPr>
        <w:pStyle w:val="Ttulo1"/>
        <w:numPr>
          <w:ilvl w:val="0"/>
          <w:numId w:val="0"/>
        </w:numPr>
        <w:shd w:val="clear" w:color="auto" w:fill="F2F2F2"/>
        <w:autoSpaceDE w:val="0"/>
        <w:autoSpaceDN w:val="0"/>
        <w:adjustRightInd w:val="0"/>
        <w:jc w:val="center"/>
        <w:rPr>
          <w:rFonts w:ascii="Cambria" w:hAnsi="Cambria" w:cstheme="minorHAnsi"/>
          <w:sz w:val="24"/>
          <w:szCs w:val="24"/>
        </w:rPr>
      </w:pPr>
      <w:bookmarkStart w:id="83" w:name="_Toc161741816"/>
      <w:bookmarkStart w:id="84" w:name="_Toc164093675"/>
      <w:r>
        <w:rPr>
          <w:rFonts w:ascii="Cambria" w:hAnsi="Cambria" w:cstheme="minorHAnsi"/>
          <w:sz w:val="24"/>
          <w:szCs w:val="24"/>
        </w:rPr>
        <w:t>ANEXO III - MINUTA DO CONTRATO</w:t>
      </w:r>
      <w:bookmarkEnd w:id="83"/>
      <w:bookmarkEnd w:id="84"/>
    </w:p>
    <w:p>
      <w:pPr>
        <w:pStyle w:val="Ttulo"/>
        <w:rPr>
          <w:rFonts w:ascii="Cambria" w:hAnsi="Cambria" w:cstheme="minorHAnsi"/>
          <w:color w:val="auto"/>
          <w:sz w:val="24"/>
          <w:szCs w:val="24"/>
        </w:rPr>
      </w:pPr>
    </w:p>
    <w:p>
      <w:pPr>
        <w:pStyle w:val="Ttulo"/>
        <w:rPr>
          <w:rFonts w:ascii="Cambria" w:hAnsi="Cambria" w:cstheme="minorHAnsi"/>
          <w:color w:val="auto"/>
          <w:sz w:val="24"/>
          <w:szCs w:val="24"/>
        </w:rPr>
      </w:pPr>
      <w:r>
        <w:rPr>
          <w:rFonts w:ascii="Cambria" w:hAnsi="Cambria" w:cstheme="minorHAnsi"/>
          <w:color w:val="auto"/>
          <w:sz w:val="24"/>
          <w:szCs w:val="24"/>
        </w:rPr>
        <w:t>MINUTA DO CONTRATO</w:t>
      </w:r>
    </w:p>
    <w:p>
      <w:pPr>
        <w:autoSpaceDE w:val="0"/>
        <w:autoSpaceDN w:val="0"/>
        <w:adjustRightInd w:val="0"/>
        <w:jc w:val="both"/>
        <w:rPr>
          <w:rFonts w:ascii="Cambria" w:hAnsi="Cambria" w:cstheme="minorHAnsi"/>
          <w:sz w:val="24"/>
          <w:szCs w:val="24"/>
        </w:rPr>
      </w:pPr>
    </w:p>
    <w:p>
      <w:pPr>
        <w:autoSpaceDE w:val="0"/>
        <w:autoSpaceDN w:val="0"/>
        <w:adjustRightInd w:val="0"/>
        <w:jc w:val="both"/>
        <w:rPr>
          <w:rFonts w:ascii="Cambria" w:hAnsi="Cambria" w:cstheme="minorHAnsi"/>
          <w:b/>
          <w:sz w:val="24"/>
          <w:szCs w:val="24"/>
        </w:rPr>
      </w:pPr>
      <w:r>
        <w:rPr>
          <w:rFonts w:ascii="Cambria" w:hAnsi="Cambria" w:cstheme="minorHAnsi"/>
          <w:b/>
          <w:sz w:val="24"/>
          <w:szCs w:val="24"/>
        </w:rPr>
        <w:t>CONTRATO Nº _____________</w:t>
      </w:r>
    </w:p>
    <w:p>
      <w:pPr>
        <w:rPr>
          <w:rFonts w:ascii="Cambria" w:hAnsi="Cambria" w:cstheme="minorHAnsi"/>
          <w:b/>
          <w:sz w:val="24"/>
          <w:szCs w:val="24"/>
        </w:rPr>
      </w:pPr>
      <w:r>
        <w:rPr>
          <w:rFonts w:ascii="Cambria" w:hAnsi="Cambria" w:cstheme="minorHAnsi"/>
          <w:b/>
          <w:sz w:val="24"/>
          <w:szCs w:val="24"/>
        </w:rPr>
        <w:t xml:space="preserve">PREGÃO ELETRÔNICO Nº </w:t>
      </w:r>
      <w:r>
        <w:rPr>
          <w:rFonts w:ascii="Cambria" w:hAnsi="Cambria" w:cstheme="minorHAnsi"/>
          <w:b/>
          <w:bCs/>
          <w:sz w:val="24"/>
          <w:szCs w:val="24"/>
        </w:rPr>
        <w:t>____.__.__.__</w:t>
      </w:r>
    </w:p>
    <w:p>
      <w:pPr>
        <w:jc w:val="both"/>
        <w:rPr>
          <w:rFonts w:ascii="Cambria" w:hAnsi="Cambria" w:cstheme="minorHAnsi"/>
          <w:sz w:val="24"/>
          <w:szCs w:val="24"/>
        </w:rPr>
      </w:pPr>
    </w:p>
    <w:p>
      <w:pPr>
        <w:autoSpaceDE w:val="0"/>
        <w:ind w:left="5103"/>
        <w:jc w:val="both"/>
        <w:rPr>
          <w:rFonts w:ascii="Cambria" w:hAnsi="Cambria" w:cstheme="minorHAnsi"/>
          <w:sz w:val="24"/>
          <w:szCs w:val="24"/>
        </w:rPr>
      </w:pPr>
      <w:r>
        <w:rPr>
          <w:rFonts w:ascii="Cambria" w:hAnsi="Cambria" w:cstheme="minorHAnsi"/>
          <w:sz w:val="24"/>
          <w:szCs w:val="24"/>
        </w:rPr>
        <w:t xml:space="preserve">CONTRATO QUE ENTRE SI CELEBRAM, DE UM LADO A </w:t>
      </w:r>
      <w:r>
        <w:rPr>
          <w:rFonts w:ascii="Cambria" w:hAnsi="Cambria" w:cstheme="minorHAnsi"/>
          <w:b/>
          <w:sz w:val="24"/>
          <w:szCs w:val="24"/>
        </w:rPr>
        <w:t>PREFEITURA MUNICIPAL DE MIRAÍMA-CE, ATRAVÉS DA SECRETARIA MUNICIPAL DE _____________________</w:t>
      </w:r>
      <w:r>
        <w:rPr>
          <w:rFonts w:ascii="Cambria" w:hAnsi="Cambria" w:cstheme="minorHAnsi"/>
          <w:sz w:val="24"/>
          <w:szCs w:val="24"/>
        </w:rPr>
        <w:t xml:space="preserve"> E DO OUTRO </w:t>
      </w:r>
      <w:r>
        <w:rPr>
          <w:rFonts w:ascii="Cambria" w:hAnsi="Cambria" w:cstheme="minorHAnsi"/>
          <w:b/>
          <w:sz w:val="24"/>
          <w:szCs w:val="24"/>
        </w:rPr>
        <w:t>A EMPRESA______________</w:t>
      </w:r>
      <w:r>
        <w:rPr>
          <w:rFonts w:ascii="Cambria" w:hAnsi="Cambria" w:cstheme="minorHAnsi"/>
          <w:sz w:val="24"/>
          <w:szCs w:val="24"/>
        </w:rPr>
        <w:t>PARA O FIM QUE NELE SE DECLARA.</w:t>
      </w:r>
    </w:p>
    <w:p>
      <w:pPr>
        <w:autoSpaceDE w:val="0"/>
        <w:ind w:left="5103"/>
        <w:jc w:val="both"/>
        <w:rPr>
          <w:rFonts w:ascii="Cambria" w:hAnsi="Cambria" w:cstheme="minorHAnsi"/>
          <w:sz w:val="24"/>
          <w:szCs w:val="24"/>
        </w:rPr>
      </w:pPr>
    </w:p>
    <w:p>
      <w:pPr>
        <w:tabs>
          <w:tab w:val="left" w:pos="8100"/>
        </w:tabs>
        <w:autoSpaceDE w:val="0"/>
        <w:jc w:val="both"/>
        <w:rPr>
          <w:rFonts w:ascii="Cambria" w:hAnsi="Cambria" w:cstheme="minorHAnsi"/>
          <w:sz w:val="24"/>
          <w:szCs w:val="24"/>
        </w:rPr>
      </w:pPr>
    </w:p>
    <w:p>
      <w:pPr>
        <w:tabs>
          <w:tab w:val="left" w:pos="8100"/>
        </w:tabs>
        <w:autoSpaceDE w:val="0"/>
        <w:jc w:val="both"/>
        <w:rPr>
          <w:rFonts w:ascii="Cambria" w:hAnsi="Cambria" w:cstheme="minorHAnsi"/>
          <w:b/>
          <w:sz w:val="24"/>
          <w:szCs w:val="24"/>
        </w:rPr>
      </w:pPr>
      <w:r>
        <w:rPr>
          <w:rFonts w:ascii="Cambria" w:hAnsi="Cambria" w:cstheme="minorHAnsi"/>
          <w:sz w:val="24"/>
          <w:szCs w:val="24"/>
          <w:lang w:val="pt-PT" w:eastAsia="ar-SA"/>
        </w:rPr>
        <w:t xml:space="preserve">O município de MIRAÍMA/CE, por meio da </w:t>
      </w:r>
      <w:r>
        <w:rPr>
          <w:rFonts w:ascii="Cambria" w:hAnsi="Cambria" w:cstheme="minorHAnsi"/>
          <w:b/>
          <w:spacing w:val="-4"/>
          <w:sz w:val="24"/>
          <w:szCs w:val="24"/>
        </w:rPr>
        <w:t xml:space="preserve">PREFEITURA MUNICIPAL DE </w:t>
      </w:r>
      <w:r>
        <w:rPr>
          <w:rFonts w:ascii="Cambria" w:hAnsi="Cambria" w:cstheme="minorHAnsi"/>
          <w:b/>
          <w:spacing w:val="-2"/>
          <w:sz w:val="24"/>
          <w:szCs w:val="24"/>
        </w:rPr>
        <w:t>MIRAÍMA</w:t>
      </w:r>
      <w:r>
        <w:rPr>
          <w:rFonts w:ascii="Cambria" w:hAnsi="Cambria" w:cstheme="minorHAnsi"/>
          <w:b/>
          <w:spacing w:val="-4"/>
          <w:sz w:val="24"/>
          <w:szCs w:val="24"/>
        </w:rPr>
        <w:t xml:space="preserve">, </w:t>
      </w:r>
      <w:r>
        <w:rPr>
          <w:rFonts w:ascii="Cambria" w:hAnsi="Cambria" w:cstheme="minorHAnsi"/>
          <w:spacing w:val="-4"/>
          <w:sz w:val="24"/>
          <w:szCs w:val="24"/>
        </w:rPr>
        <w:t xml:space="preserve">Estado do Ceará, pessoa jurídica de direito público interno, inscrita no </w:t>
      </w:r>
      <w:r>
        <w:rPr>
          <w:rFonts w:ascii="Cambria" w:hAnsi="Cambria" w:cstheme="minorHAnsi"/>
          <w:sz w:val="24"/>
          <w:szCs w:val="24"/>
        </w:rPr>
        <w:t xml:space="preserve">CNPJ sob o </w:t>
      </w:r>
      <w:r>
        <w:rPr>
          <w:rFonts w:ascii="Cambria" w:hAnsi="Cambria" w:cstheme="minorHAnsi"/>
          <w:spacing w:val="-4"/>
          <w:sz w:val="24"/>
          <w:szCs w:val="24"/>
        </w:rPr>
        <w:t xml:space="preserve">N.º 10.517.563/0001-05, com sede localizada à Esplanada da Estação, 433 – Centro – Miraíma – CE, </w:t>
      </w:r>
      <w:r>
        <w:rPr>
          <w:rFonts w:ascii="Cambria" w:hAnsi="Cambria" w:cstheme="minorHAnsi"/>
          <w:sz w:val="24"/>
          <w:szCs w:val="24"/>
          <w:lang w:val="pt-PT" w:eastAsia="ar-SA"/>
        </w:rPr>
        <w:t xml:space="preserve">através da </w:t>
      </w:r>
      <w:r>
        <w:rPr>
          <w:rFonts w:ascii="Cambria" w:hAnsi="Cambria" w:cstheme="minorHAnsi"/>
          <w:b/>
          <w:caps/>
          <w:sz w:val="24"/>
          <w:szCs w:val="24"/>
          <w:lang w:val="pt-PT" w:eastAsia="ar-SA"/>
        </w:rPr>
        <w:t>SecretAria MUnicipal de ___________</w:t>
      </w:r>
      <w:r>
        <w:rPr>
          <w:rFonts w:ascii="Cambria" w:hAnsi="Cambria" w:cstheme="minorHAnsi"/>
          <w:sz w:val="24"/>
          <w:szCs w:val="24"/>
          <w:lang w:val="pt-PT" w:eastAsia="ar-SA"/>
        </w:rPr>
        <w:t xml:space="preserve">, </w:t>
      </w:r>
      <w:r>
        <w:rPr>
          <w:rFonts w:ascii="Cambria" w:hAnsi="Cambria" w:cstheme="minorHAnsi"/>
          <w:spacing w:val="-4"/>
          <w:sz w:val="24"/>
          <w:szCs w:val="24"/>
        </w:rPr>
        <w:t xml:space="preserve">neste ato representado (a) pelo (a) Sr(a).__________________ , Secretária Municipal de ________________, inscrita no C.P.F. sob o N° </w:t>
      </w:r>
      <w:r>
        <w:rPr>
          <w:rFonts w:ascii="Cambria" w:hAnsi="Cambria" w:cstheme="minorHAnsi"/>
          <w:sz w:val="24"/>
          <w:szCs w:val="24"/>
        </w:rPr>
        <w:t xml:space="preserve">___________ </w:t>
      </w:r>
      <w:r>
        <w:rPr>
          <w:rFonts w:ascii="Cambria" w:hAnsi="Cambria" w:cstheme="minorHAnsi"/>
          <w:spacing w:val="-4"/>
          <w:sz w:val="24"/>
          <w:szCs w:val="24"/>
        </w:rPr>
        <w:t xml:space="preserve">aqui denominado(a) de </w:t>
      </w:r>
      <w:r>
        <w:rPr>
          <w:rFonts w:ascii="Cambria" w:hAnsi="Cambria" w:cstheme="minorHAnsi"/>
          <w:b/>
          <w:spacing w:val="-4"/>
          <w:sz w:val="24"/>
          <w:szCs w:val="24"/>
        </w:rPr>
        <w:t>CONTRATANTE</w:t>
      </w:r>
      <w:r>
        <w:rPr>
          <w:rFonts w:ascii="Cambria" w:hAnsi="Cambria" w:cstheme="minorHAnsi"/>
          <w:spacing w:val="-4"/>
          <w:sz w:val="24"/>
          <w:szCs w:val="24"/>
        </w:rPr>
        <w:t xml:space="preserve">, e de </w:t>
      </w:r>
      <w:r>
        <w:rPr>
          <w:rFonts w:ascii="Cambria" w:hAnsi="Cambria" w:cstheme="minorHAnsi"/>
          <w:sz w:val="24"/>
          <w:szCs w:val="24"/>
          <w:lang w:eastAsia="ar-SA"/>
        </w:rPr>
        <w:t xml:space="preserve">outro lado a Empresa </w:t>
      </w:r>
      <w:r>
        <w:rPr>
          <w:rFonts w:ascii="Cambria" w:hAnsi="Cambria" w:cstheme="minorHAnsi"/>
          <w:sz w:val="24"/>
          <w:szCs w:val="24"/>
        </w:rPr>
        <w:t>______________________</w:t>
      </w:r>
      <w:r>
        <w:rPr>
          <w:rFonts w:ascii="Cambria" w:hAnsi="Cambria" w:cstheme="minorHAnsi"/>
          <w:sz w:val="24"/>
          <w:szCs w:val="24"/>
          <w:lang w:eastAsia="ar-SA"/>
        </w:rPr>
        <w:t xml:space="preserve">, estabelecida na </w:t>
      </w:r>
      <w:r>
        <w:rPr>
          <w:rFonts w:ascii="Cambria" w:hAnsi="Cambria" w:cstheme="minorHAnsi"/>
          <w:sz w:val="24"/>
          <w:szCs w:val="24"/>
        </w:rPr>
        <w:t>_________________</w:t>
      </w:r>
      <w:r>
        <w:rPr>
          <w:rFonts w:ascii="Cambria" w:hAnsi="Cambria" w:cstheme="minorHAnsi"/>
          <w:sz w:val="24"/>
          <w:szCs w:val="24"/>
          <w:lang w:eastAsia="ar-SA"/>
        </w:rPr>
        <w:t xml:space="preserve">, inscrita no CNPJ/MF sob o n.º </w:t>
      </w:r>
      <w:r>
        <w:rPr>
          <w:rFonts w:ascii="Cambria" w:hAnsi="Cambria" w:cstheme="minorHAnsi"/>
          <w:sz w:val="24"/>
          <w:szCs w:val="24"/>
        </w:rPr>
        <w:t>_________________________</w:t>
      </w:r>
      <w:r>
        <w:rPr>
          <w:rFonts w:ascii="Cambria" w:hAnsi="Cambria" w:cstheme="minorHAnsi"/>
          <w:sz w:val="24"/>
          <w:szCs w:val="24"/>
          <w:lang w:eastAsia="ar-SA"/>
        </w:rPr>
        <w:t>, neste ato representada pelo (a) Sr(a).</w:t>
      </w:r>
      <w:r>
        <w:rPr>
          <w:rFonts w:ascii="Cambria" w:hAnsi="Cambria" w:cstheme="minorHAnsi"/>
          <w:sz w:val="24"/>
          <w:szCs w:val="24"/>
        </w:rPr>
        <w:t xml:space="preserve"> ______________________</w:t>
      </w:r>
      <w:r>
        <w:rPr>
          <w:rFonts w:ascii="Cambria" w:hAnsi="Cambria" w:cstheme="minorHAnsi"/>
          <w:spacing w:val="-4"/>
          <w:sz w:val="24"/>
          <w:szCs w:val="24"/>
        </w:rPr>
        <w:t xml:space="preserve">, portador (a) do CPF nº </w:t>
      </w:r>
      <w:r>
        <w:rPr>
          <w:rFonts w:ascii="Cambria" w:hAnsi="Cambria" w:cstheme="minorHAnsi"/>
          <w:sz w:val="24"/>
          <w:szCs w:val="24"/>
        </w:rPr>
        <w:t>_____________</w:t>
      </w:r>
      <w:r>
        <w:rPr>
          <w:rFonts w:ascii="Cambria" w:hAnsi="Cambria" w:cstheme="minorHAnsi"/>
          <w:spacing w:val="-4"/>
          <w:sz w:val="24"/>
          <w:szCs w:val="24"/>
        </w:rPr>
        <w:t xml:space="preserve">, apenas denominada de </w:t>
      </w:r>
      <w:r>
        <w:rPr>
          <w:rFonts w:ascii="Cambria" w:hAnsi="Cambria" w:cstheme="minorHAnsi"/>
          <w:b/>
          <w:spacing w:val="-4"/>
          <w:sz w:val="24"/>
          <w:szCs w:val="24"/>
        </w:rPr>
        <w:t>CONTRATADA</w:t>
      </w:r>
      <w:r>
        <w:rPr>
          <w:rFonts w:ascii="Cambria" w:hAnsi="Cambria" w:cstheme="minorHAnsi"/>
          <w:spacing w:val="-4"/>
          <w:sz w:val="24"/>
          <w:szCs w:val="24"/>
        </w:rPr>
        <w:t>, firmam entre si o presente TERMO DE CONTRATO mediante as cláusulas e condições a seguir estabelecidas:</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PRIMEIRA - DO FUNDAMENTO LEGAL</w:t>
      </w:r>
    </w:p>
    <w:p>
      <w:pPr>
        <w:jc w:val="both"/>
        <w:rPr>
          <w:rFonts w:ascii="Cambria" w:hAnsi="Cambria" w:cstheme="minorHAnsi"/>
          <w:sz w:val="24"/>
          <w:szCs w:val="24"/>
        </w:rPr>
      </w:pPr>
      <w:r>
        <w:rPr>
          <w:rFonts w:ascii="Cambria" w:hAnsi="Cambria" w:cstheme="minorHAnsi"/>
          <w:b/>
          <w:sz w:val="24"/>
          <w:szCs w:val="24"/>
        </w:rPr>
        <w:t>1.1.</w:t>
      </w:r>
      <w:r>
        <w:rPr>
          <w:rFonts w:ascii="Cambria" w:hAnsi="Cambria" w:cstheme="minorHAnsi"/>
          <w:sz w:val="24"/>
          <w:szCs w:val="24"/>
        </w:rPr>
        <w:t xml:space="preserve"> Processo de Licitação, na modalidade Pregão Eletrônico tombado sob o nº </w:t>
      </w:r>
      <w:r>
        <w:rPr>
          <w:rFonts w:ascii="Cambria" w:hAnsi="Cambria" w:cstheme="minorHAnsi"/>
          <w:b/>
          <w:bCs/>
          <w:sz w:val="24"/>
          <w:szCs w:val="24"/>
        </w:rPr>
        <w:t xml:space="preserve">____.__.__.__ </w:t>
      </w:r>
      <w:r>
        <w:rPr>
          <w:rFonts w:ascii="Cambria" w:hAnsi="Cambria" w:cstheme="minorHAnsi"/>
          <w:sz w:val="24"/>
          <w:szCs w:val="24"/>
        </w:rPr>
        <w:t>em conformidade com a Lei Federal Nº 14.133/2021 de 1º de abril de 2021 - Lei das Licitações Públicas, c/c os termos da Lei Federal nº 14.133/2021.</w:t>
      </w:r>
    </w:p>
    <w:p>
      <w:pPr>
        <w:jc w:val="both"/>
        <w:rPr>
          <w:rFonts w:ascii="Cambria" w:hAnsi="Cambria" w:cstheme="minorHAnsi"/>
          <w:sz w:val="24"/>
          <w:szCs w:val="24"/>
        </w:rPr>
      </w:pPr>
    </w:p>
    <w:p>
      <w:pPr>
        <w:jc w:val="both"/>
        <w:rPr>
          <w:rFonts w:ascii="Cambria" w:hAnsi="Cambria" w:cstheme="minorHAnsi"/>
          <w:b/>
          <w:sz w:val="24"/>
          <w:szCs w:val="24"/>
        </w:rPr>
      </w:pPr>
      <w:r>
        <w:rPr>
          <w:rFonts w:ascii="Cambria" w:hAnsi="Cambria" w:cstheme="minorHAnsi"/>
          <w:b/>
          <w:sz w:val="24"/>
          <w:szCs w:val="24"/>
        </w:rPr>
        <w:t>CLÁUSULA SEGUNDA - DO OBJETO</w:t>
      </w:r>
    </w:p>
    <w:p>
      <w:pPr>
        <w:shd w:val="clear" w:color="auto" w:fill="FFFFFF"/>
        <w:tabs>
          <w:tab w:val="left" w:pos="284"/>
        </w:tabs>
        <w:spacing w:after="200"/>
        <w:jc w:val="both"/>
        <w:rPr>
          <w:rFonts w:ascii="Cambria" w:hAnsi="Cambria" w:cstheme="minorHAnsi"/>
          <w:sz w:val="24"/>
          <w:szCs w:val="24"/>
        </w:rPr>
      </w:pPr>
      <w:r>
        <w:rPr>
          <w:rFonts w:ascii="Cambria" w:hAnsi="Cambria" w:cstheme="minorHAnsi"/>
          <w:b/>
          <w:sz w:val="24"/>
          <w:szCs w:val="24"/>
        </w:rPr>
        <w:t>2.1.</w:t>
      </w:r>
      <w:r>
        <w:rPr>
          <w:rFonts w:ascii="Cambria" w:hAnsi="Cambria" w:cstheme="minorHAnsi"/>
          <w:sz w:val="24"/>
          <w:szCs w:val="24"/>
        </w:rPr>
        <w:t xml:space="preserve"> Constitui objeto do presente o </w:t>
      </w:r>
      <w:r>
        <w:rPr>
          <w:rFonts w:ascii="Cambria" w:hAnsi="Cambria" w:cstheme="minorHAnsi"/>
          <w:b/>
          <w:sz w:val="24"/>
          <w:szCs w:val="24"/>
        </w:rPr>
        <w:t>&lt;OBJETO&gt;</w:t>
      </w:r>
      <w:r>
        <w:rPr>
          <w:rFonts w:ascii="Cambria" w:hAnsi="Cambria" w:cstheme="minorHAnsi"/>
          <w:sz w:val="24"/>
          <w:szCs w:val="24"/>
        </w:rPr>
        <w:t>, tudo conforme especificações contidas no Projeto Básico/Termo de Referência, constante do ANEXO 01 do Edital.</w:t>
      </w:r>
    </w:p>
    <w:p>
      <w:pPr>
        <w:ind w:right="-5"/>
        <w:jc w:val="both"/>
        <w:rPr>
          <w:rFonts w:ascii="Cambria" w:hAnsi="Cambria" w:cstheme="minorHAnsi"/>
          <w:b/>
          <w:sz w:val="24"/>
          <w:szCs w:val="24"/>
        </w:rPr>
      </w:pPr>
      <w:r>
        <w:rPr>
          <w:rFonts w:ascii="Cambria" w:hAnsi="Cambria" w:cstheme="minorHAnsi"/>
          <w:b/>
          <w:sz w:val="24"/>
          <w:szCs w:val="24"/>
        </w:rPr>
        <w:t>CLÁUSULA TERCEIRA - DO VALOR, DO REAJUSTE E DO REEQUILÍBRIO ECONÔMICO-FINANCEIRO</w:t>
      </w:r>
    </w:p>
    <w:p>
      <w:pPr>
        <w:ind w:right="-5"/>
        <w:jc w:val="both"/>
        <w:rPr>
          <w:rFonts w:ascii="Cambria" w:hAnsi="Cambria" w:cstheme="minorHAnsi"/>
          <w:sz w:val="24"/>
          <w:szCs w:val="24"/>
        </w:rPr>
      </w:pPr>
      <w:r>
        <w:rPr>
          <w:rFonts w:ascii="Cambria" w:hAnsi="Cambria" w:cstheme="minorHAnsi"/>
          <w:b/>
          <w:sz w:val="24"/>
          <w:szCs w:val="24"/>
        </w:rPr>
        <w:t>3.1.</w:t>
      </w:r>
      <w:r>
        <w:rPr>
          <w:rFonts w:ascii="Cambria" w:hAnsi="Cambria" w:cstheme="minorHAnsi"/>
          <w:sz w:val="24"/>
          <w:szCs w:val="24"/>
        </w:rPr>
        <w:t xml:space="preserve"> O valor global da presente avença é de R$ ____ (___), a ser pago na proporção da entrega dos serviços licitados, segundo as ordens de compras/autorizações de fornecimento expedidas pela Administração, de conformidade com as notas fiscais/faturas devidamente atestadas pelo Gestor da despesa, acompanhadas das Certidões Federal, Estadual, Municipal, FGTS e CNDT do proponente vencedor, todas atualizadas, observadas as condições da proposta.</w:t>
      </w:r>
    </w:p>
    <w:p>
      <w:pPr>
        <w:jc w:val="both"/>
        <w:rPr>
          <w:rFonts w:ascii="Cambria" w:hAnsi="Cambria" w:cstheme="minorHAnsi"/>
          <w:sz w:val="24"/>
          <w:szCs w:val="24"/>
        </w:rPr>
      </w:pPr>
      <w:r>
        <w:rPr>
          <w:rFonts w:ascii="Cambria" w:hAnsi="Cambria" w:cstheme="minorHAnsi"/>
          <w:b/>
          <w:sz w:val="24"/>
          <w:szCs w:val="24"/>
        </w:rPr>
        <w:t>3.2.</w:t>
      </w:r>
      <w:r>
        <w:rPr>
          <w:rFonts w:ascii="Cambria" w:hAnsi="Cambria" w:cstheme="minorHAnsi"/>
          <w:sz w:val="24"/>
          <w:szCs w:val="24"/>
        </w:rPr>
        <w:t xml:space="preserve"> O valor do presente Contrato não será objeto de reajuste, antes de decorridos 12 (doze) meses da contratação, hipótese na qual poderá ser utilizado o índice IGP-M da Fundação Getúlio Vargas.</w:t>
      </w:r>
    </w:p>
    <w:p>
      <w:pPr>
        <w:jc w:val="both"/>
        <w:rPr>
          <w:rFonts w:ascii="Cambria" w:hAnsi="Cambria" w:cstheme="minorHAnsi"/>
          <w:sz w:val="24"/>
          <w:szCs w:val="24"/>
        </w:rPr>
      </w:pPr>
      <w:r>
        <w:rPr>
          <w:rFonts w:ascii="Cambria" w:hAnsi="Cambria" w:cstheme="minorHAnsi"/>
          <w:b/>
          <w:sz w:val="24"/>
          <w:szCs w:val="24"/>
        </w:rPr>
        <w:lastRenderedPageBreak/>
        <w:t>3.3.</w:t>
      </w:r>
      <w:r>
        <w:rPr>
          <w:rFonts w:ascii="Cambria" w:hAnsi="Cambria" w:cstheme="minorHAnsi"/>
          <w:sz w:val="24"/>
          <w:szCs w:val="24"/>
        </w:rPr>
        <w:t xml:space="preserve"> O pagamento será efetuado em até 30 (trinta) dias, após adimplemento da obrigação e encaminhamento da documentação tratada no subitem 3.1, observadas as disposições editalícias, através de crédito na Conta Bancária do fornecedor ou através de cheque nominal.</w:t>
      </w:r>
    </w:p>
    <w:p>
      <w:pPr>
        <w:jc w:val="both"/>
        <w:rPr>
          <w:rFonts w:ascii="Cambria" w:hAnsi="Cambria" w:cstheme="minorHAnsi"/>
          <w:sz w:val="24"/>
          <w:szCs w:val="24"/>
        </w:rPr>
      </w:pPr>
      <w:r>
        <w:rPr>
          <w:rFonts w:ascii="Cambria" w:hAnsi="Cambria" w:cstheme="minorHAnsi"/>
          <w:b/>
          <w:sz w:val="24"/>
          <w:szCs w:val="24"/>
        </w:rPr>
        <w:t>3.4.</w:t>
      </w:r>
      <w:r>
        <w:rPr>
          <w:rFonts w:ascii="Cambria" w:hAnsi="Cambria" w:cstheme="minorHAnsi"/>
          <w:sz w:val="24"/>
          <w:szCs w:val="24"/>
        </w:rPr>
        <w:t xml:space="preserve"> Por ocasião da entrega dos serviços, o contratado deverá apresentar recibo em 02 (duas) vias e a respectiva Nota Fiscal. A Fatura e Nota Fiscal deverá ser emitida em nome da Secretaria de *****, com endereço na ************************** CNPJ/MF sob o nº **********************.</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QUARTA – DO PRAZO DE VIGÊNCIA</w:t>
      </w:r>
    </w:p>
    <w:p>
      <w:pPr>
        <w:jc w:val="both"/>
        <w:rPr>
          <w:rFonts w:ascii="Cambria" w:hAnsi="Cambria" w:cstheme="minorHAnsi"/>
          <w:sz w:val="24"/>
          <w:szCs w:val="24"/>
        </w:rPr>
      </w:pPr>
      <w:r>
        <w:rPr>
          <w:rFonts w:ascii="Cambria" w:hAnsi="Cambria" w:cstheme="minorHAnsi"/>
          <w:b/>
          <w:sz w:val="24"/>
          <w:szCs w:val="24"/>
        </w:rPr>
        <w:t>4.1.</w:t>
      </w:r>
      <w:r>
        <w:rPr>
          <w:rFonts w:ascii="Cambria" w:hAnsi="Cambria" w:cstheme="minorHAnsi"/>
          <w:sz w:val="24"/>
          <w:szCs w:val="24"/>
        </w:rPr>
        <w:t xml:space="preserve"> O presente Instrumento produzirá seus jurídicos e legais efeitos a partir da data de sua assinatura e vigerá até ___ de _______ do ano firmado, podendo ter a sua duração prorrogada na forma do artigo 114 da lei 14.133/2021 de 1º de abril de 2021.</w:t>
      </w:r>
    </w:p>
    <w:p>
      <w:pPr>
        <w:jc w:val="both"/>
        <w:rPr>
          <w:rFonts w:ascii="Cambria" w:hAnsi="Cambria" w:cstheme="minorHAnsi"/>
          <w:sz w:val="24"/>
          <w:szCs w:val="24"/>
        </w:rPr>
      </w:pPr>
    </w:p>
    <w:p>
      <w:pPr>
        <w:jc w:val="both"/>
        <w:rPr>
          <w:rFonts w:ascii="Cambria" w:hAnsi="Cambria" w:cstheme="minorHAnsi"/>
          <w:b/>
          <w:sz w:val="24"/>
          <w:szCs w:val="24"/>
        </w:rPr>
      </w:pPr>
      <w:r>
        <w:rPr>
          <w:rFonts w:ascii="Cambria" w:hAnsi="Cambria" w:cstheme="minorHAnsi"/>
          <w:b/>
          <w:sz w:val="24"/>
          <w:szCs w:val="24"/>
        </w:rPr>
        <w:t>CLÁUSULA QUINTA - DA ORIGEM DOS RECURSOS</w:t>
      </w:r>
    </w:p>
    <w:p>
      <w:pPr>
        <w:jc w:val="both"/>
        <w:rPr>
          <w:rFonts w:ascii="Cambria" w:hAnsi="Cambria" w:cstheme="minorHAnsi"/>
          <w:bCs/>
          <w:sz w:val="24"/>
          <w:szCs w:val="24"/>
        </w:rPr>
      </w:pPr>
      <w:r>
        <w:rPr>
          <w:rFonts w:ascii="Cambria" w:hAnsi="Cambria" w:cstheme="minorHAnsi"/>
          <w:b/>
          <w:sz w:val="24"/>
          <w:szCs w:val="24"/>
        </w:rPr>
        <w:t>5.1.</w:t>
      </w:r>
      <w:r>
        <w:rPr>
          <w:rFonts w:ascii="Cambria" w:hAnsi="Cambria" w:cstheme="minorHAnsi"/>
          <w:sz w:val="24"/>
          <w:szCs w:val="24"/>
        </w:rPr>
        <w:t xml:space="preserve"> As despesas decorrentes desta contratação correrão à conta de recursos específicos consignados no respectivo Orçamento Municipal, inerentes a</w:t>
      </w:r>
      <w:r>
        <w:rPr>
          <w:rFonts w:ascii="Cambria" w:hAnsi="Cambria" w:cstheme="minorHAnsi"/>
          <w:b/>
          <w:bCs/>
          <w:sz w:val="24"/>
          <w:szCs w:val="24"/>
        </w:rPr>
        <w:t>: _________________________: DOTAÇÕES ORÇAMENTÁRIAS</w:t>
      </w:r>
      <w:r>
        <w:rPr>
          <w:rFonts w:ascii="Cambria" w:hAnsi="Cambria" w:cstheme="minorHAnsi"/>
          <w:bCs/>
          <w:sz w:val="24"/>
          <w:szCs w:val="24"/>
        </w:rPr>
        <w:t xml:space="preserve"> ____________________________. </w:t>
      </w:r>
      <w:r>
        <w:rPr>
          <w:rFonts w:ascii="Cambria" w:hAnsi="Cambria" w:cstheme="minorHAnsi"/>
          <w:b/>
          <w:bCs/>
          <w:sz w:val="24"/>
          <w:szCs w:val="24"/>
        </w:rPr>
        <w:t xml:space="preserve">ELEMENTO DESPESA: </w:t>
      </w:r>
      <w:r>
        <w:rPr>
          <w:rFonts w:ascii="Cambria" w:hAnsi="Cambria" w:cstheme="minorHAnsi"/>
          <w:bCs/>
          <w:sz w:val="24"/>
          <w:szCs w:val="24"/>
        </w:rPr>
        <w:t xml:space="preserve">___________________________ </w:t>
      </w:r>
      <w:r>
        <w:rPr>
          <w:rFonts w:ascii="Cambria" w:hAnsi="Cambria" w:cstheme="minorHAnsi"/>
          <w:b/>
          <w:bCs/>
          <w:sz w:val="24"/>
          <w:szCs w:val="24"/>
        </w:rPr>
        <w:t xml:space="preserve">SUB-ELEMENTO: </w:t>
      </w:r>
      <w:r>
        <w:rPr>
          <w:rFonts w:ascii="Cambria" w:hAnsi="Cambria" w:cstheme="minorHAnsi"/>
          <w:bCs/>
          <w:sz w:val="24"/>
          <w:szCs w:val="24"/>
        </w:rPr>
        <w:t xml:space="preserve">________________________. </w:t>
      </w:r>
      <w:r>
        <w:rPr>
          <w:rFonts w:ascii="Cambria" w:hAnsi="Cambria" w:cstheme="minorHAnsi"/>
          <w:b/>
          <w:bCs/>
          <w:sz w:val="24"/>
          <w:szCs w:val="24"/>
        </w:rPr>
        <w:t>FONTE</w:t>
      </w:r>
      <w:r>
        <w:rPr>
          <w:rFonts w:ascii="Cambria" w:hAnsi="Cambria" w:cstheme="minorHAnsi"/>
          <w:bCs/>
          <w:sz w:val="24"/>
          <w:szCs w:val="24"/>
        </w:rPr>
        <w:t>: ______________________.</w:t>
      </w:r>
      <w:r>
        <w:rPr>
          <w:rFonts w:ascii="Cambria" w:hAnsi="Cambria" w:cstheme="minorHAnsi"/>
          <w:sz w:val="24"/>
          <w:szCs w:val="24"/>
        </w:rPr>
        <w:t xml:space="preserve"> </w:t>
      </w:r>
    </w:p>
    <w:p>
      <w:pPr>
        <w:suppressAutoHyphens/>
        <w:jc w:val="both"/>
        <w:rPr>
          <w:rFonts w:ascii="Cambria" w:eastAsia="Times New Roman" w:hAnsi="Cambria" w:cstheme="minorHAnsi"/>
          <w:b/>
          <w:bCs/>
          <w:sz w:val="24"/>
          <w:szCs w:val="24"/>
          <w:lang w:eastAsia="pt-BR"/>
        </w:rPr>
      </w:pPr>
    </w:p>
    <w:p>
      <w:pPr>
        <w:jc w:val="both"/>
        <w:rPr>
          <w:rFonts w:ascii="Cambria" w:hAnsi="Cambria" w:cstheme="minorHAnsi"/>
          <w:b/>
          <w:sz w:val="24"/>
          <w:szCs w:val="24"/>
        </w:rPr>
      </w:pPr>
      <w:r>
        <w:rPr>
          <w:rFonts w:ascii="Cambria" w:hAnsi="Cambria" w:cstheme="minorHAnsi"/>
          <w:b/>
          <w:sz w:val="24"/>
          <w:szCs w:val="24"/>
        </w:rPr>
        <w:t>CLÁUSULA SEXTA - DA OBRIGAÇÃO DAS PARTES</w:t>
      </w:r>
    </w:p>
    <w:p>
      <w:pPr>
        <w:jc w:val="both"/>
        <w:rPr>
          <w:rFonts w:ascii="Cambria" w:hAnsi="Cambria" w:cstheme="minorHAnsi"/>
          <w:sz w:val="24"/>
          <w:szCs w:val="24"/>
        </w:rPr>
      </w:pPr>
      <w:r>
        <w:rPr>
          <w:rFonts w:ascii="Cambria" w:hAnsi="Cambria" w:cstheme="minorHAnsi"/>
          <w:b/>
          <w:sz w:val="24"/>
          <w:szCs w:val="24"/>
        </w:rPr>
        <w:t>6.1</w:t>
      </w:r>
      <w:r>
        <w:rPr>
          <w:rFonts w:ascii="Cambria" w:hAnsi="Cambria" w:cstheme="minorHAnsi"/>
          <w:sz w:val="24"/>
          <w:szCs w:val="24"/>
        </w:rPr>
        <w:t>. As partes se obrigam reciprocamente a cumprir integralmente as disposições do instrumento convocatório, da Lei Federal nº 14.133/2021 de 1º de abril de 2021, alterada e consolidada e da Lei Federal n.º 14.133/2021, do Decreto Municipal nº 1.195, de 10 de março de 2021 e da proposta adjudicada.</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sz w:val="24"/>
          <w:szCs w:val="24"/>
        </w:rPr>
        <w:t>6.2.</w:t>
      </w:r>
      <w:r>
        <w:rPr>
          <w:rFonts w:ascii="Cambria" w:hAnsi="Cambria" w:cstheme="minorHAnsi"/>
          <w:sz w:val="24"/>
          <w:szCs w:val="24"/>
        </w:rPr>
        <w:t xml:space="preserve"> O CONTRATADO obriga-se a:</w:t>
      </w:r>
    </w:p>
    <w:p>
      <w:pPr>
        <w:jc w:val="both"/>
        <w:rPr>
          <w:rFonts w:ascii="Cambria" w:hAnsi="Cambria" w:cstheme="minorHAnsi"/>
          <w:sz w:val="24"/>
          <w:szCs w:val="24"/>
        </w:rPr>
      </w:pPr>
      <w:r>
        <w:rPr>
          <w:rFonts w:ascii="Cambria" w:hAnsi="Cambria" w:cstheme="minorHAnsi"/>
          <w:b/>
          <w:sz w:val="24"/>
          <w:szCs w:val="24"/>
        </w:rPr>
        <w:t>a)</w:t>
      </w:r>
      <w:r>
        <w:rPr>
          <w:rFonts w:ascii="Cambria" w:hAnsi="Cambria" w:cstheme="minorHAnsi"/>
          <w:sz w:val="24"/>
          <w:szCs w:val="24"/>
        </w:rPr>
        <w:t xml:space="preserve"> executar os serviços contratados dentro dos padrões estabelecidos pelo MUNICÍPIO, de acordo com o especificado no instrumento convocatório e no ANEXO 01, que fazem parte deste instrumento, observando, ainda, todas as normas técnicas que eventualmente regulem o fornecimento, responsabilizando-se por eventuais prejuízos decorrentes do descumprimento de qualquer cláusula ou condição aqui estabelecida;</w:t>
      </w:r>
    </w:p>
    <w:p>
      <w:pPr>
        <w:jc w:val="both"/>
        <w:rPr>
          <w:rFonts w:ascii="Cambria" w:hAnsi="Cambria" w:cstheme="minorHAnsi"/>
          <w:sz w:val="24"/>
          <w:szCs w:val="24"/>
          <w:lang w:val="pt-PT"/>
        </w:rPr>
      </w:pPr>
      <w:r>
        <w:rPr>
          <w:rFonts w:ascii="Cambria" w:hAnsi="Cambria" w:cstheme="minorHAnsi"/>
          <w:b/>
          <w:sz w:val="24"/>
          <w:szCs w:val="24"/>
          <w:lang w:val="pt-PT"/>
        </w:rPr>
        <w:t xml:space="preserve">b) </w:t>
      </w:r>
      <w:r>
        <w:rPr>
          <w:rFonts w:ascii="Cambria" w:hAnsi="Cambria" w:cstheme="minorHAnsi"/>
          <w:sz w:val="24"/>
          <w:szCs w:val="24"/>
          <w:lang w:val="pt-PT"/>
        </w:rPr>
        <w:t>assumir a responsabilidade pelo pagamento de todos os impostos, taxas e quaisquer ônus de origem federal, estadual e municipal, bem como, quaisquer encargos judiciais ou extrajudiciais, sejam trabalhistas, previdenciários, fiscais e comerciais resultantes da execução do contrato que lhes sejam imputáveis, inclusive com relação a terceiros, em decorrência do fornecimento;</w:t>
      </w:r>
    </w:p>
    <w:p>
      <w:pPr>
        <w:jc w:val="both"/>
        <w:rPr>
          <w:rFonts w:ascii="Cambria" w:hAnsi="Cambria" w:cstheme="minorHAnsi"/>
          <w:sz w:val="24"/>
          <w:szCs w:val="24"/>
          <w:lang w:val="pt-PT"/>
        </w:rPr>
      </w:pPr>
      <w:r>
        <w:rPr>
          <w:rFonts w:ascii="Cambria" w:hAnsi="Cambria" w:cstheme="minorHAnsi"/>
          <w:b/>
          <w:sz w:val="24"/>
          <w:szCs w:val="24"/>
          <w:lang w:val="pt-PT"/>
        </w:rPr>
        <w:t>c)</w:t>
      </w:r>
      <w:r>
        <w:rPr>
          <w:rFonts w:ascii="Cambria" w:hAnsi="Cambria" w:cstheme="minorHAnsi"/>
          <w:sz w:val="24"/>
          <w:szCs w:val="24"/>
          <w:lang w:val="pt-PT"/>
        </w:rPr>
        <w:t xml:space="preserve"> a reparar, corrigir, remover ou substituir, às suas expensas, no total ou em parte, os produtos em que se verificarem vícios, defeitos ou incorreções;</w:t>
      </w:r>
    </w:p>
    <w:p>
      <w:pPr>
        <w:jc w:val="both"/>
        <w:rPr>
          <w:rFonts w:ascii="Cambria" w:hAnsi="Cambria" w:cstheme="minorHAnsi"/>
          <w:sz w:val="24"/>
          <w:szCs w:val="24"/>
          <w:lang w:val="pt-PT"/>
        </w:rPr>
      </w:pPr>
      <w:r>
        <w:rPr>
          <w:rFonts w:ascii="Cambria" w:hAnsi="Cambria" w:cstheme="minorHAnsi"/>
          <w:b/>
          <w:sz w:val="24"/>
          <w:szCs w:val="24"/>
          <w:lang w:val="pt-PT"/>
        </w:rPr>
        <w:t>d)</w:t>
      </w:r>
      <w:r>
        <w:rPr>
          <w:rFonts w:ascii="Cambria" w:hAnsi="Cambria" w:cstheme="minorHAnsi"/>
          <w:sz w:val="24"/>
          <w:szCs w:val="24"/>
          <w:lang w:val="pt-PT"/>
        </w:rPr>
        <w:t xml:space="preserve"> responsabilizar-se pelos danos causados diretamente ao MUNICÍPIO ou a terceiros, decorrentes de sua culpa ou dolo na execução do fornecimento, não excluindo ou reduzindo essa responsabilidade a fiscalização ou o acompanhamento pelo órgão interessado;</w:t>
      </w:r>
    </w:p>
    <w:p>
      <w:pPr>
        <w:jc w:val="both"/>
        <w:rPr>
          <w:rFonts w:ascii="Cambria" w:hAnsi="Cambria" w:cstheme="minorHAnsi"/>
          <w:sz w:val="24"/>
          <w:szCs w:val="24"/>
          <w:lang w:val="pt-PT"/>
        </w:rPr>
      </w:pPr>
      <w:r>
        <w:rPr>
          <w:rFonts w:ascii="Cambria" w:hAnsi="Cambria" w:cstheme="minorHAnsi"/>
          <w:b/>
          <w:sz w:val="24"/>
          <w:szCs w:val="24"/>
          <w:lang w:val="pt-PT"/>
        </w:rPr>
        <w:t>e)</w:t>
      </w:r>
      <w:r>
        <w:rPr>
          <w:rFonts w:ascii="Cambria" w:hAnsi="Cambria" w:cstheme="minorHAnsi"/>
          <w:sz w:val="24"/>
          <w:szCs w:val="24"/>
          <w:lang w:val="pt-PT"/>
        </w:rPr>
        <w:t xml:space="preserve"> indicar preposto, aceito pela Administração, para representá-lo na execução do contrato. As decisões e providências que ultrapassarem a competência do representante do contratado deverão ser comunicadas a seus superiores em tempo hábil para a adoção das medidas convenientes;</w:t>
      </w:r>
    </w:p>
    <w:p>
      <w:pPr>
        <w:jc w:val="both"/>
        <w:rPr>
          <w:rFonts w:ascii="Cambria" w:hAnsi="Cambria" w:cstheme="minorHAnsi"/>
          <w:sz w:val="24"/>
          <w:szCs w:val="24"/>
          <w:lang w:val="pt-PT"/>
        </w:rPr>
      </w:pPr>
      <w:r>
        <w:rPr>
          <w:rFonts w:ascii="Cambria" w:hAnsi="Cambria" w:cstheme="minorHAnsi"/>
          <w:b/>
          <w:sz w:val="24"/>
          <w:szCs w:val="24"/>
          <w:lang w:val="pt-PT"/>
        </w:rPr>
        <w:lastRenderedPageBreak/>
        <w:t xml:space="preserve">f) </w:t>
      </w:r>
      <w:r>
        <w:rPr>
          <w:rFonts w:ascii="Cambria" w:hAnsi="Cambria" w:cstheme="minorHAnsi"/>
          <w:sz w:val="24"/>
          <w:szCs w:val="24"/>
          <w:lang w:val="pt-PT"/>
        </w:rPr>
        <w:t>aceitar, nas mesmas condições, os acréscimos ou supressões que se fizerem no fornecimento, até 25% (vinte e cinco por cento) do valor inicial atualizado do contrato, na forma do art. 125 da Lei nº 14.133/2021 de 1º de abril de 2021;</w:t>
      </w:r>
    </w:p>
    <w:p>
      <w:pPr>
        <w:jc w:val="both"/>
        <w:rPr>
          <w:rFonts w:ascii="Cambria" w:hAnsi="Cambria" w:cstheme="minorHAnsi"/>
          <w:sz w:val="24"/>
          <w:szCs w:val="24"/>
        </w:rPr>
      </w:pPr>
      <w:r>
        <w:rPr>
          <w:rFonts w:ascii="Cambria" w:hAnsi="Cambria" w:cstheme="minorHAnsi"/>
          <w:b/>
          <w:sz w:val="24"/>
          <w:szCs w:val="24"/>
          <w:lang w:val="pt-PT"/>
        </w:rPr>
        <w:t>g)</w:t>
      </w:r>
      <w:r>
        <w:rPr>
          <w:rFonts w:ascii="Cambria" w:hAnsi="Cambria" w:cstheme="minorHAnsi"/>
          <w:sz w:val="24"/>
          <w:szCs w:val="24"/>
        </w:rPr>
        <w:t>entregar os produtos de forma a não comprometer o funcionamento dos serviços do MUNICÍPIO;</w:t>
      </w:r>
    </w:p>
    <w:p>
      <w:pPr>
        <w:jc w:val="both"/>
        <w:rPr>
          <w:rFonts w:ascii="Cambria" w:hAnsi="Cambria" w:cstheme="minorHAnsi"/>
          <w:sz w:val="24"/>
          <w:szCs w:val="24"/>
        </w:rPr>
      </w:pPr>
      <w:r>
        <w:rPr>
          <w:rFonts w:ascii="Cambria" w:hAnsi="Cambria" w:cstheme="minorHAnsi"/>
          <w:b/>
          <w:sz w:val="24"/>
          <w:szCs w:val="24"/>
        </w:rPr>
        <w:t>h)</w:t>
      </w:r>
      <w:r>
        <w:rPr>
          <w:rFonts w:ascii="Cambria" w:hAnsi="Cambria" w:cstheme="minorHAnsi"/>
          <w:sz w:val="24"/>
          <w:szCs w:val="24"/>
        </w:rPr>
        <w:t xml:space="preserve"> comunicar antecipadamente a data e horário da entrega, não sendo aceitos os produtos que estiverem em desacordo com as especificações constantes deste instrumento, nem quaisquer pleitos de faturamentos extraordinários sob o pretexto de perfeito funcionamento e conclusão do objeto contratado.</w:t>
      </w:r>
    </w:p>
    <w:p>
      <w:pPr>
        <w:jc w:val="both"/>
        <w:rPr>
          <w:rFonts w:ascii="Cambria" w:hAnsi="Cambria" w:cstheme="minorHAnsi"/>
          <w:sz w:val="24"/>
          <w:szCs w:val="24"/>
        </w:rPr>
      </w:pPr>
      <w:r>
        <w:rPr>
          <w:rFonts w:ascii="Cambria" w:hAnsi="Cambria" w:cstheme="minorHAnsi"/>
          <w:b/>
          <w:sz w:val="24"/>
          <w:szCs w:val="24"/>
        </w:rPr>
        <w:t>i)</w:t>
      </w:r>
      <w:r>
        <w:rPr>
          <w:rFonts w:ascii="Cambria" w:hAnsi="Cambria" w:cstheme="minorHAnsi"/>
          <w:sz w:val="24"/>
          <w:szCs w:val="24"/>
        </w:rPr>
        <w:t xml:space="preserve"> prestar os esclarecimentos que forem solicitados pelo MUNICÍPIO, cujas reclamações se obriga a atender prontamente, bem como dar ciência ao MUNICÍPIO, imediatamente e por escrito, de qualquer anormalidade que verificar quando da execução do contrato;</w:t>
      </w:r>
    </w:p>
    <w:p>
      <w:pPr>
        <w:jc w:val="both"/>
        <w:rPr>
          <w:rFonts w:ascii="Cambria" w:hAnsi="Cambria" w:cstheme="minorHAnsi"/>
          <w:sz w:val="24"/>
          <w:szCs w:val="24"/>
        </w:rPr>
      </w:pPr>
      <w:r>
        <w:rPr>
          <w:rFonts w:ascii="Cambria" w:hAnsi="Cambria" w:cstheme="minorHAnsi"/>
          <w:b/>
          <w:sz w:val="24"/>
          <w:szCs w:val="24"/>
        </w:rPr>
        <w:t>j)</w:t>
      </w:r>
      <w:r>
        <w:rPr>
          <w:rFonts w:ascii="Cambria" w:hAnsi="Cambria" w:cstheme="minorHAnsi"/>
          <w:sz w:val="24"/>
          <w:szCs w:val="24"/>
        </w:rPr>
        <w:t xml:space="preserve"> dispor-se a toda e qualquer fiscalização do MUNICÍPIO, no tocante aos serviços, assim como ao cumprimento das obrigações previstas;</w:t>
      </w:r>
    </w:p>
    <w:p>
      <w:pPr>
        <w:jc w:val="both"/>
        <w:rPr>
          <w:rFonts w:ascii="Cambria" w:hAnsi="Cambria" w:cstheme="minorHAnsi"/>
          <w:sz w:val="24"/>
          <w:szCs w:val="24"/>
        </w:rPr>
      </w:pPr>
      <w:r>
        <w:rPr>
          <w:rFonts w:ascii="Cambria" w:hAnsi="Cambria" w:cstheme="minorHAnsi"/>
          <w:b/>
          <w:sz w:val="24"/>
          <w:szCs w:val="24"/>
        </w:rPr>
        <w:t>k)</w:t>
      </w:r>
      <w:r>
        <w:rPr>
          <w:rFonts w:ascii="Cambria" w:hAnsi="Cambria" w:cstheme="minorHAnsi"/>
          <w:sz w:val="24"/>
          <w:szCs w:val="24"/>
        </w:rPr>
        <w:t xml:space="preserve"> prover todos os meios necessários à garantia da plena operacionalidade do fornecimento, inclusive considerados os casos de greve ou paralisação de qualquer natureza;</w:t>
      </w:r>
    </w:p>
    <w:p>
      <w:pPr>
        <w:jc w:val="both"/>
        <w:rPr>
          <w:rFonts w:ascii="Cambria" w:hAnsi="Cambria" w:cstheme="minorHAnsi"/>
          <w:sz w:val="24"/>
          <w:szCs w:val="24"/>
        </w:rPr>
      </w:pPr>
      <w:r>
        <w:rPr>
          <w:rFonts w:ascii="Cambria" w:hAnsi="Cambria" w:cstheme="minorHAnsi"/>
          <w:b/>
          <w:sz w:val="24"/>
          <w:szCs w:val="24"/>
        </w:rPr>
        <w:t>l)</w:t>
      </w:r>
      <w:r>
        <w:rPr>
          <w:rFonts w:ascii="Cambria" w:hAnsi="Cambria" w:cstheme="minorHAnsi"/>
          <w:sz w:val="24"/>
          <w:szCs w:val="24"/>
        </w:rPr>
        <w:t xml:space="preserve"> comunicar imediatamente ao MUNICÍPIO qualquer alteração ocorrida no endereço, conta bancária e outros considerados necessários para recebimento de correspondência;</w:t>
      </w:r>
    </w:p>
    <w:p>
      <w:pPr>
        <w:jc w:val="both"/>
        <w:rPr>
          <w:rFonts w:ascii="Cambria" w:hAnsi="Cambria" w:cstheme="minorHAnsi"/>
          <w:sz w:val="24"/>
          <w:szCs w:val="24"/>
        </w:rPr>
      </w:pPr>
      <w:r>
        <w:rPr>
          <w:rFonts w:ascii="Cambria" w:hAnsi="Cambria" w:cstheme="minorHAnsi"/>
          <w:b/>
          <w:sz w:val="24"/>
          <w:szCs w:val="24"/>
        </w:rPr>
        <w:t>m)</w:t>
      </w:r>
      <w:r>
        <w:rPr>
          <w:rFonts w:ascii="Cambria" w:hAnsi="Cambria" w:cstheme="minorHAnsi"/>
          <w:sz w:val="24"/>
          <w:szCs w:val="24"/>
        </w:rPr>
        <w:t xml:space="preserve"> possibilitar ao MUNICÍPIO efetuar vistoria nas suas instalações, a fim de verificar as condições para atendimento do objeto contratual;</w:t>
      </w:r>
    </w:p>
    <w:p>
      <w:pPr>
        <w:jc w:val="both"/>
        <w:rPr>
          <w:rFonts w:ascii="Cambria" w:hAnsi="Cambria" w:cstheme="minorHAnsi"/>
          <w:sz w:val="24"/>
          <w:szCs w:val="24"/>
        </w:rPr>
      </w:pPr>
      <w:r>
        <w:rPr>
          <w:rFonts w:ascii="Cambria" w:hAnsi="Cambria" w:cstheme="minorHAnsi"/>
          <w:b/>
          <w:sz w:val="24"/>
          <w:szCs w:val="24"/>
        </w:rPr>
        <w:t>n)</w:t>
      </w:r>
      <w:r>
        <w:rPr>
          <w:rFonts w:ascii="Cambria" w:hAnsi="Cambria" w:cstheme="minorHAnsi"/>
          <w:sz w:val="24"/>
          <w:szCs w:val="24"/>
        </w:rPr>
        <w:t xml:space="preserve"> manter, sob as penas da lei, o mais completo e absoluto sigilo sobre quaisquer dados, informações, documentos, especificações técnicas e comerciais dos materiais do MUNICÍPIO, de que venha a tomar conhecimento ou ter acesso, ou que venham a ser confiados, sejam relacionados ou não com o fornecimento do objeto deste contrato;</w:t>
      </w:r>
    </w:p>
    <w:p>
      <w:pPr>
        <w:jc w:val="both"/>
        <w:rPr>
          <w:rFonts w:ascii="Cambria" w:hAnsi="Cambria" w:cstheme="minorHAnsi"/>
          <w:sz w:val="24"/>
          <w:szCs w:val="24"/>
        </w:rPr>
      </w:pPr>
      <w:r>
        <w:rPr>
          <w:rFonts w:ascii="Cambria" w:hAnsi="Cambria" w:cstheme="minorHAnsi"/>
          <w:b/>
          <w:sz w:val="24"/>
          <w:szCs w:val="24"/>
        </w:rPr>
        <w:t>o)</w:t>
      </w:r>
      <w:r>
        <w:rPr>
          <w:rFonts w:ascii="Cambria" w:hAnsi="Cambria" w:cstheme="minorHAnsi"/>
          <w:sz w:val="24"/>
          <w:szCs w:val="24"/>
        </w:rPr>
        <w:t xml:space="preserve"> manter seus empregados, quando nas dependências do MUNICÍPIO, devidamente identificados com crachá subscrito pela CONTRATADA, no qual constará, no mínimo, sua razão social, nome completo do empregado e fotografia 3x4;</w:t>
      </w:r>
    </w:p>
    <w:p>
      <w:pPr>
        <w:jc w:val="both"/>
        <w:rPr>
          <w:rFonts w:ascii="Cambria" w:hAnsi="Cambria" w:cstheme="minorHAnsi"/>
          <w:sz w:val="24"/>
          <w:szCs w:val="24"/>
        </w:rPr>
      </w:pPr>
      <w:r>
        <w:rPr>
          <w:rFonts w:ascii="Cambria" w:hAnsi="Cambria" w:cstheme="minorHAnsi"/>
          <w:b/>
          <w:sz w:val="24"/>
          <w:szCs w:val="24"/>
        </w:rPr>
        <w:t>p)</w:t>
      </w:r>
      <w:r>
        <w:rPr>
          <w:rFonts w:ascii="Cambria" w:hAnsi="Cambria" w:cstheme="minorHAnsi"/>
          <w:sz w:val="24"/>
          <w:szCs w:val="24"/>
        </w:rPr>
        <w:t xml:space="preserve"> Arcar com as despesas da entrega do produto no local indicado na autorização de fornecimento.</w:t>
      </w:r>
    </w:p>
    <w:p>
      <w:pPr>
        <w:spacing w:after="240"/>
        <w:jc w:val="both"/>
        <w:rPr>
          <w:rFonts w:ascii="Cambria" w:hAnsi="Cambria" w:cstheme="minorHAnsi"/>
          <w:sz w:val="24"/>
          <w:szCs w:val="24"/>
        </w:rPr>
      </w:pPr>
      <w:r>
        <w:rPr>
          <w:rFonts w:ascii="Cambria" w:hAnsi="Cambria" w:cstheme="minorHAnsi"/>
          <w:b/>
          <w:sz w:val="24"/>
          <w:szCs w:val="24"/>
        </w:rPr>
        <w:t>6.2.2.</w:t>
      </w:r>
      <w:r>
        <w:rPr>
          <w:rFonts w:ascii="Cambria" w:hAnsi="Cambria" w:cstheme="minorHAnsi"/>
          <w:sz w:val="24"/>
          <w:szCs w:val="24"/>
        </w:rPr>
        <w:t xml:space="preserve"> No caso de constatação da inadequação dos serviços fornecidos às normas e exigências especificadas no Termo de Referência, no Edital ou na Proposta do Contratado, o Contratante os recusará, devendo no prazo máximo de 24 (vinte e quatro) horas ser adequados às supracitadas condições;</w:t>
      </w:r>
    </w:p>
    <w:p>
      <w:pPr>
        <w:spacing w:after="240"/>
        <w:jc w:val="both"/>
        <w:rPr>
          <w:rFonts w:ascii="Cambria" w:hAnsi="Cambria" w:cstheme="minorHAnsi"/>
          <w:sz w:val="24"/>
          <w:szCs w:val="24"/>
        </w:rPr>
      </w:pPr>
      <w:r>
        <w:rPr>
          <w:rFonts w:ascii="Cambria" w:hAnsi="Cambria" w:cstheme="minorHAnsi"/>
          <w:b/>
          <w:sz w:val="24"/>
          <w:szCs w:val="24"/>
        </w:rPr>
        <w:t>6.4</w:t>
      </w:r>
      <w:r>
        <w:rPr>
          <w:rFonts w:ascii="Cambria" w:hAnsi="Cambria" w:cstheme="minorHAnsi"/>
          <w:sz w:val="24"/>
          <w:szCs w:val="24"/>
        </w:rPr>
        <w:t xml:space="preserve">. </w:t>
      </w:r>
      <w:r>
        <w:rPr>
          <w:rFonts w:ascii="Cambria" w:hAnsi="Cambria" w:cstheme="minorHAnsi"/>
          <w:b/>
          <w:sz w:val="24"/>
          <w:szCs w:val="24"/>
        </w:rPr>
        <w:t>O CONTRATANTE obriga-se a:</w:t>
      </w:r>
    </w:p>
    <w:p>
      <w:pPr>
        <w:jc w:val="both"/>
        <w:rPr>
          <w:rFonts w:ascii="Cambria" w:hAnsi="Cambria" w:cstheme="minorHAnsi"/>
          <w:sz w:val="24"/>
          <w:szCs w:val="24"/>
        </w:rPr>
      </w:pPr>
      <w:r>
        <w:rPr>
          <w:rFonts w:ascii="Cambria" w:hAnsi="Cambria" w:cstheme="minorHAnsi"/>
          <w:b/>
          <w:sz w:val="24"/>
          <w:szCs w:val="24"/>
        </w:rPr>
        <w:t>6.4.1.</w:t>
      </w:r>
      <w:r>
        <w:rPr>
          <w:rFonts w:ascii="Cambria" w:hAnsi="Cambria" w:cstheme="minorHAnsi"/>
          <w:sz w:val="24"/>
          <w:szCs w:val="24"/>
        </w:rPr>
        <w:t xml:space="preserve"> Assegurar o livre acesso do CONTRATADO e de seus prepostos, devidamente identificados, a todos os locais onde se fizer necessário a execução dos sistemas, prestando-lhe todas as informações e esclarecimentos que, eventualmente, forem solicitados;</w:t>
      </w:r>
    </w:p>
    <w:p>
      <w:pPr>
        <w:jc w:val="both"/>
        <w:rPr>
          <w:rFonts w:ascii="Cambria" w:hAnsi="Cambria" w:cstheme="minorHAnsi"/>
          <w:sz w:val="24"/>
          <w:szCs w:val="24"/>
        </w:rPr>
      </w:pPr>
      <w:r>
        <w:rPr>
          <w:rFonts w:ascii="Cambria" w:hAnsi="Cambria" w:cstheme="minorHAnsi"/>
          <w:b/>
          <w:sz w:val="24"/>
          <w:szCs w:val="24"/>
        </w:rPr>
        <w:t>6.4.2.</w:t>
      </w:r>
      <w:r>
        <w:rPr>
          <w:rFonts w:ascii="Cambria" w:hAnsi="Cambria" w:cstheme="minorHAnsi"/>
          <w:sz w:val="24"/>
          <w:szCs w:val="24"/>
        </w:rPr>
        <w:t xml:space="preserve"> Efetuar o pagamento ao CONTRATADO na forma prevista neste instrumento.</w:t>
      </w:r>
    </w:p>
    <w:p>
      <w:pPr>
        <w:jc w:val="both"/>
        <w:rPr>
          <w:rFonts w:ascii="Cambria" w:hAnsi="Cambria" w:cstheme="minorHAnsi"/>
          <w:b/>
          <w:sz w:val="24"/>
          <w:szCs w:val="24"/>
        </w:rPr>
      </w:pPr>
    </w:p>
    <w:p>
      <w:pPr>
        <w:tabs>
          <w:tab w:val="left" w:pos="426"/>
        </w:tabs>
        <w:rPr>
          <w:rFonts w:ascii="Cambria" w:hAnsi="Cambria" w:cstheme="minorHAnsi"/>
          <w:b/>
          <w:sz w:val="24"/>
          <w:szCs w:val="24"/>
        </w:rPr>
      </w:pPr>
      <w:r>
        <w:rPr>
          <w:rFonts w:ascii="Cambria" w:hAnsi="Cambria" w:cstheme="minorHAnsi"/>
          <w:b/>
          <w:sz w:val="24"/>
          <w:szCs w:val="24"/>
        </w:rPr>
        <w:t>6.5. LOCAL DA PRESTAÇÃO DOS SERVIÇOS</w:t>
      </w:r>
    </w:p>
    <w:p>
      <w:pPr>
        <w:jc w:val="both"/>
        <w:rPr>
          <w:rFonts w:ascii="Cambria" w:hAnsi="Cambria" w:cstheme="minorHAnsi"/>
          <w:sz w:val="24"/>
          <w:szCs w:val="24"/>
        </w:rPr>
      </w:pPr>
      <w:r>
        <w:rPr>
          <w:rFonts w:ascii="Cambria" w:hAnsi="Cambria" w:cstheme="minorHAnsi"/>
          <w:b/>
          <w:sz w:val="24"/>
          <w:szCs w:val="24"/>
        </w:rPr>
        <w:t>6.5.1.</w:t>
      </w:r>
      <w:r>
        <w:rPr>
          <w:rFonts w:ascii="Cambria" w:hAnsi="Cambria" w:cstheme="minorHAnsi"/>
          <w:sz w:val="24"/>
          <w:szCs w:val="24"/>
        </w:rPr>
        <w:t xml:space="preserve"> Os serviços deverão ser executados em </w:t>
      </w:r>
      <w:r>
        <w:rPr>
          <w:rFonts w:ascii="Cambria" w:hAnsi="Cambria" w:cstheme="minorHAnsi"/>
          <w:b/>
          <w:sz w:val="24"/>
          <w:szCs w:val="24"/>
        </w:rPr>
        <w:t>12 (doze) meses</w:t>
      </w:r>
      <w:r>
        <w:rPr>
          <w:rFonts w:ascii="Cambria" w:hAnsi="Cambria" w:cstheme="minorHAnsi"/>
          <w:sz w:val="24"/>
          <w:szCs w:val="24"/>
        </w:rPr>
        <w:t xml:space="preserve">, a contar da emissão da </w:t>
      </w:r>
      <w:r>
        <w:rPr>
          <w:rFonts w:ascii="Cambria" w:hAnsi="Cambria" w:cstheme="minorHAnsi"/>
          <w:b/>
          <w:sz w:val="24"/>
          <w:szCs w:val="24"/>
        </w:rPr>
        <w:t>ORDEM DE SERVIÇOS</w:t>
      </w:r>
      <w:r>
        <w:rPr>
          <w:rFonts w:ascii="Cambria" w:hAnsi="Cambria" w:cstheme="minorHAnsi"/>
          <w:sz w:val="24"/>
          <w:szCs w:val="24"/>
        </w:rPr>
        <w:t>.</w:t>
      </w:r>
    </w:p>
    <w:p>
      <w:pPr>
        <w:jc w:val="both"/>
        <w:rPr>
          <w:rFonts w:ascii="Cambria" w:hAnsi="Cambria" w:cstheme="minorHAnsi"/>
          <w:sz w:val="24"/>
          <w:szCs w:val="24"/>
        </w:rPr>
      </w:pPr>
      <w:r>
        <w:rPr>
          <w:rFonts w:ascii="Cambria" w:hAnsi="Cambria" w:cstheme="minorHAnsi"/>
          <w:b/>
          <w:sz w:val="24"/>
          <w:szCs w:val="24"/>
        </w:rPr>
        <w:lastRenderedPageBreak/>
        <w:t>6.5.2.</w:t>
      </w:r>
      <w:r>
        <w:rPr>
          <w:rFonts w:ascii="Cambria" w:hAnsi="Cambria" w:cstheme="minorHAnsi"/>
          <w:sz w:val="24"/>
          <w:szCs w:val="24"/>
        </w:rPr>
        <w:t xml:space="preserve"> Os serviços deverão ser prestados no(a) sede da Secretaria ou nos locais determinados pela CONTRATANTE, através da ordem de serviços e/ou nas unidades a serem designadas pela secretaria contratante.</w:t>
      </w:r>
    </w:p>
    <w:p>
      <w:pPr>
        <w:jc w:val="both"/>
        <w:rPr>
          <w:rFonts w:ascii="Cambria" w:hAnsi="Cambria" w:cstheme="minorHAnsi"/>
          <w:sz w:val="24"/>
          <w:szCs w:val="24"/>
        </w:rPr>
      </w:pPr>
    </w:p>
    <w:p>
      <w:pPr>
        <w:tabs>
          <w:tab w:val="left" w:pos="284"/>
          <w:tab w:val="left" w:pos="426"/>
        </w:tabs>
        <w:rPr>
          <w:rFonts w:ascii="Cambria" w:hAnsi="Cambria" w:cstheme="minorHAnsi"/>
          <w:b/>
          <w:sz w:val="24"/>
          <w:szCs w:val="24"/>
        </w:rPr>
      </w:pPr>
      <w:r>
        <w:rPr>
          <w:rFonts w:ascii="Cambria" w:hAnsi="Cambria" w:cstheme="minorHAnsi"/>
          <w:b/>
          <w:sz w:val="24"/>
          <w:szCs w:val="24"/>
        </w:rPr>
        <w:t>6.6. FORMA DE EXECUÇÃO DOS SERVIÇOS</w:t>
      </w:r>
    </w:p>
    <w:p>
      <w:pPr>
        <w:jc w:val="both"/>
        <w:rPr>
          <w:rFonts w:ascii="Cambria" w:hAnsi="Cambria" w:cstheme="minorHAnsi"/>
          <w:sz w:val="24"/>
          <w:szCs w:val="24"/>
        </w:rPr>
      </w:pPr>
      <w:r>
        <w:rPr>
          <w:rFonts w:ascii="Cambria" w:hAnsi="Cambria" w:cstheme="minorHAnsi"/>
          <w:b/>
          <w:sz w:val="24"/>
          <w:szCs w:val="24"/>
        </w:rPr>
        <w:t>6.6.1.</w:t>
      </w:r>
      <w:r>
        <w:rPr>
          <w:rFonts w:ascii="Cambria" w:hAnsi="Cambria" w:cstheme="minorHAnsi"/>
          <w:sz w:val="24"/>
          <w:szCs w:val="24"/>
        </w:rPr>
        <w:t xml:space="preserve"> Execução dos serviços terá o prazo de </w:t>
      </w:r>
      <w:r>
        <w:rPr>
          <w:rFonts w:ascii="Cambria" w:hAnsi="Cambria" w:cstheme="minorHAnsi"/>
          <w:b/>
          <w:sz w:val="24"/>
          <w:szCs w:val="24"/>
        </w:rPr>
        <w:t>12 (doze) meses</w:t>
      </w:r>
      <w:r>
        <w:rPr>
          <w:rFonts w:ascii="Cambria" w:hAnsi="Cambria" w:cstheme="minorHAnsi"/>
          <w:sz w:val="24"/>
          <w:szCs w:val="24"/>
        </w:rPr>
        <w:t xml:space="preserve">, nas localidades a serem indicados pela Secretaria demandante, mediante a expedição de </w:t>
      </w:r>
      <w:r>
        <w:rPr>
          <w:rFonts w:ascii="Cambria" w:hAnsi="Cambria" w:cstheme="minorHAnsi"/>
          <w:b/>
          <w:sz w:val="24"/>
          <w:szCs w:val="24"/>
        </w:rPr>
        <w:t>ORDENS DE SERVIÇO</w:t>
      </w:r>
      <w:r>
        <w:rPr>
          <w:rFonts w:ascii="Cambria" w:hAnsi="Cambria" w:cstheme="minorHAnsi"/>
          <w:sz w:val="24"/>
          <w:szCs w:val="24"/>
        </w:rPr>
        <w:t>, pelo órgão demandante, constando a relação e a quantidade de serviços a serem executados.</w:t>
      </w:r>
    </w:p>
    <w:p>
      <w:pPr>
        <w:jc w:val="both"/>
        <w:rPr>
          <w:rFonts w:ascii="Cambria" w:hAnsi="Cambria" w:cstheme="minorHAnsi"/>
          <w:sz w:val="24"/>
          <w:szCs w:val="24"/>
        </w:rPr>
      </w:pPr>
      <w:r>
        <w:rPr>
          <w:rFonts w:ascii="Cambria" w:hAnsi="Cambria" w:cstheme="minorHAnsi"/>
          <w:b/>
          <w:sz w:val="24"/>
          <w:szCs w:val="24"/>
        </w:rPr>
        <w:t>6.6.2</w:t>
      </w:r>
      <w:r>
        <w:rPr>
          <w:rFonts w:ascii="Cambria" w:hAnsi="Cambria" w:cstheme="minorHAnsi"/>
          <w:sz w:val="24"/>
          <w:szCs w:val="24"/>
        </w:rPr>
        <w:t>. A execução dos serviços será acompanhada e fiscalizada por servidor do órgão demandante, como FISCAL DE CONTATO o (a) Sr.(a) ___________________________ CPF Nº ______________________ Portaria Designação __________________ o qual  deverá atestar os documentos da despesa, quando comprovada a fiel e correta entrega para fins de pagamento.</w:t>
      </w:r>
    </w:p>
    <w:p>
      <w:pPr>
        <w:jc w:val="both"/>
        <w:rPr>
          <w:rFonts w:ascii="Cambria" w:hAnsi="Cambria" w:cstheme="minorHAnsi"/>
          <w:sz w:val="24"/>
          <w:szCs w:val="24"/>
        </w:rPr>
      </w:pPr>
      <w:r>
        <w:rPr>
          <w:rFonts w:ascii="Cambria" w:hAnsi="Cambria" w:cstheme="minorHAnsi"/>
          <w:b/>
          <w:sz w:val="24"/>
          <w:szCs w:val="24"/>
        </w:rPr>
        <w:t>6.6.3.</w:t>
      </w:r>
      <w:r>
        <w:rPr>
          <w:rFonts w:ascii="Cambria" w:hAnsi="Cambria" w:cstheme="minorHAnsi"/>
          <w:sz w:val="24"/>
          <w:szCs w:val="24"/>
        </w:rPr>
        <w:t xml:space="preserve"> A presença da fiscalização do órgão demandante não elide nem diminui a responsabilidade da empresa contratada.</w:t>
      </w:r>
    </w:p>
    <w:p>
      <w:pPr>
        <w:jc w:val="both"/>
        <w:rPr>
          <w:rFonts w:ascii="Cambria" w:hAnsi="Cambria" w:cstheme="minorHAnsi"/>
          <w:sz w:val="24"/>
          <w:szCs w:val="24"/>
        </w:rPr>
      </w:pPr>
      <w:r>
        <w:rPr>
          <w:rFonts w:ascii="Cambria" w:hAnsi="Cambria" w:cstheme="minorHAnsi"/>
          <w:b/>
          <w:sz w:val="24"/>
          <w:szCs w:val="24"/>
        </w:rPr>
        <w:t>6.6.4.</w:t>
      </w:r>
      <w:r>
        <w:rPr>
          <w:rFonts w:ascii="Cambria" w:hAnsi="Cambria" w:cstheme="minorHAnsi"/>
          <w:sz w:val="24"/>
          <w:szCs w:val="24"/>
        </w:rPr>
        <w:t xml:space="preserve"> Caberá ao servidor designado rejeitar totalmente ou em parte, qualquer bem que não esteja de acordo com as exigências, bem como, determinar prazo para substituição do item eventualmente fora de especificação.</w:t>
      </w:r>
    </w:p>
    <w:p>
      <w:pPr>
        <w:jc w:val="both"/>
        <w:rPr>
          <w:rFonts w:ascii="Cambria" w:hAnsi="Cambria" w:cstheme="minorHAnsi"/>
          <w:sz w:val="24"/>
          <w:szCs w:val="24"/>
        </w:rPr>
      </w:pPr>
      <w:r>
        <w:rPr>
          <w:rFonts w:ascii="Cambria" w:hAnsi="Cambria" w:cstheme="minorHAnsi"/>
          <w:b/>
          <w:sz w:val="24"/>
          <w:szCs w:val="24"/>
        </w:rPr>
        <w:t>6.6.5.</w:t>
      </w:r>
      <w:r>
        <w:rPr>
          <w:rFonts w:ascii="Cambria" w:hAnsi="Cambria" w:cstheme="minorHAnsi"/>
          <w:sz w:val="24"/>
          <w:szCs w:val="24"/>
        </w:rPr>
        <w:t xml:space="preserve"> Os serviços deverão ser iniciados em até </w:t>
      </w:r>
      <w:r>
        <w:rPr>
          <w:rFonts w:ascii="Cambria" w:hAnsi="Cambria" w:cstheme="minorHAnsi"/>
          <w:b/>
          <w:sz w:val="24"/>
          <w:szCs w:val="24"/>
        </w:rPr>
        <w:t>05 (CINCO) DIAS ÚTEIS</w:t>
      </w:r>
      <w:r>
        <w:rPr>
          <w:rFonts w:ascii="Cambria" w:hAnsi="Cambria" w:cstheme="minorHAnsi"/>
          <w:sz w:val="24"/>
          <w:szCs w:val="24"/>
        </w:rPr>
        <w:t xml:space="preserve">, a contar da emissão da Ordem de Serviço, que </w:t>
      </w:r>
      <w:r>
        <w:rPr>
          <w:rFonts w:ascii="Cambria" w:hAnsi="Cambria" w:cstheme="minorHAnsi"/>
          <w:b/>
          <w:sz w:val="24"/>
          <w:szCs w:val="24"/>
        </w:rPr>
        <w:t>será enviada à contratada através de e-mail</w:t>
      </w:r>
      <w:r>
        <w:rPr>
          <w:rFonts w:ascii="Cambria" w:hAnsi="Cambria" w:cstheme="minorHAnsi"/>
          <w:sz w:val="24"/>
          <w:szCs w:val="24"/>
        </w:rPr>
        <w:t xml:space="preserve"> ou outro meio que comprove o seu recebimento.</w:t>
      </w:r>
    </w:p>
    <w:p>
      <w:pPr>
        <w:jc w:val="both"/>
        <w:rPr>
          <w:rFonts w:ascii="Cambria" w:hAnsi="Cambria" w:cstheme="minorHAnsi"/>
          <w:sz w:val="24"/>
          <w:szCs w:val="24"/>
        </w:rPr>
      </w:pPr>
      <w:r>
        <w:rPr>
          <w:rFonts w:ascii="Cambria" w:hAnsi="Cambria" w:cstheme="minorHAnsi"/>
          <w:b/>
          <w:sz w:val="24"/>
          <w:szCs w:val="24"/>
        </w:rPr>
        <w:t>6.6.6.</w:t>
      </w:r>
      <w:r>
        <w:rPr>
          <w:rFonts w:ascii="Cambria" w:hAnsi="Cambria" w:cstheme="minorHAnsi"/>
          <w:sz w:val="24"/>
          <w:szCs w:val="24"/>
        </w:rPr>
        <w:t xml:space="preserve"> A demanda correspondente a </w:t>
      </w:r>
      <w:r>
        <w:rPr>
          <w:rFonts w:ascii="Cambria" w:hAnsi="Cambria" w:cstheme="minorHAnsi"/>
          <w:b/>
          <w:sz w:val="24"/>
          <w:szCs w:val="24"/>
        </w:rPr>
        <w:t>ORDEM DE SERVIÇOS</w:t>
      </w:r>
      <w:r>
        <w:rPr>
          <w:rFonts w:ascii="Cambria" w:hAnsi="Cambria" w:cstheme="minorHAnsi"/>
          <w:sz w:val="24"/>
          <w:szCs w:val="24"/>
        </w:rPr>
        <w:t xml:space="preserve"> deverá ser realizada em remessa única.</w:t>
      </w:r>
    </w:p>
    <w:p>
      <w:pPr>
        <w:tabs>
          <w:tab w:val="left" w:pos="284"/>
          <w:tab w:val="left" w:pos="426"/>
        </w:tabs>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SÉTIMA - DAS SANÇÕES</w:t>
      </w:r>
    </w:p>
    <w:p>
      <w:pPr>
        <w:jc w:val="both"/>
        <w:rPr>
          <w:rFonts w:ascii="Cambria" w:hAnsi="Cambria" w:cstheme="minorHAnsi"/>
          <w:sz w:val="24"/>
          <w:szCs w:val="24"/>
        </w:rPr>
      </w:pPr>
      <w:r>
        <w:rPr>
          <w:rFonts w:ascii="Cambria" w:hAnsi="Cambria" w:cstheme="minorHAnsi"/>
          <w:b/>
          <w:sz w:val="24"/>
          <w:szCs w:val="24"/>
        </w:rPr>
        <w:t>7.1.</w:t>
      </w:r>
      <w:r>
        <w:rPr>
          <w:rFonts w:ascii="Cambria" w:hAnsi="Cambria" w:cstheme="minorHAnsi"/>
          <w:sz w:val="24"/>
          <w:szCs w:val="24"/>
        </w:rPr>
        <w:t xml:space="preserve"> Comete infração administrativa, a Contratada que:</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Der causa à inexecução parcial do contrato;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Der causa à inexecução parcial do contrato que cause grave dano à Administração ou ao funcionamento dos serviços públicos ou ao interesse coletivo;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Der causa à inexecução total do contrato;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Deixar de entregar a documentação exigida para o certame;</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Não manter a proposta, salvo em decorrência de fato superveniente devidamente justificado;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Não celebrar o contrato ou não entregar a documentação exigida para a contratação, quando convocado dentro do prazo de validade de sua proposta;</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Ensejar o retardamento da execução ou da entrega do objeto da contratação sem motivo justificado;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Apresentar declaração ou documentação falsa exigida para o certame ou prestar declaração falsa durante a dispensa eletrônica ou execução do contrato;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Fraudar a contratação ou praticar ato fraudulento na execução do contrato;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Comportar-se de modo inidôneo ou cometer fraude de qualquer natureza;</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Praticar atos ilícitos com vistas a frustrar os objetivos da contratação;</w:t>
      </w:r>
    </w:p>
    <w:p>
      <w:pPr>
        <w:pStyle w:val="PargrafodaLista"/>
        <w:numPr>
          <w:ilvl w:val="1"/>
          <w:numId w:val="42"/>
        </w:numPr>
        <w:ind w:left="0" w:firstLine="0"/>
        <w:jc w:val="both"/>
        <w:rPr>
          <w:rFonts w:ascii="Cambria" w:hAnsi="Cambria" w:cstheme="minorHAnsi"/>
          <w:sz w:val="24"/>
          <w:szCs w:val="24"/>
        </w:rPr>
      </w:pPr>
      <w:r>
        <w:rPr>
          <w:rFonts w:ascii="Cambria" w:hAnsi="Cambria" w:cstheme="minorHAnsi"/>
          <w:sz w:val="24"/>
          <w:szCs w:val="24"/>
        </w:rPr>
        <w:t>Praticar ato lesivo previsto no art. 5º da Lei nº 12.846, de 1º de agosto de 2013.</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7.2.</w:t>
      </w:r>
      <w:r>
        <w:rPr>
          <w:rFonts w:ascii="Cambria" w:hAnsi="Cambria" w:cstheme="minorHAnsi"/>
          <w:sz w:val="24"/>
          <w:szCs w:val="24"/>
        </w:rPr>
        <w:t xml:space="preserve"> Serão aplicadas à responsável pelas infrações administrativas acima descritas as seguintes sanções:</w:t>
      </w:r>
    </w:p>
    <w:p>
      <w:pPr>
        <w:jc w:val="both"/>
        <w:rPr>
          <w:rFonts w:ascii="Cambria" w:hAnsi="Cambria" w:cstheme="minorHAnsi"/>
          <w:sz w:val="24"/>
          <w:szCs w:val="24"/>
        </w:rPr>
      </w:pPr>
      <w:r>
        <w:rPr>
          <w:rFonts w:ascii="Cambria" w:hAnsi="Cambria" w:cstheme="minorHAnsi"/>
          <w:b/>
          <w:sz w:val="24"/>
          <w:szCs w:val="24"/>
        </w:rPr>
        <w:lastRenderedPageBreak/>
        <w:t>a)</w:t>
      </w:r>
      <w:r>
        <w:rPr>
          <w:rFonts w:ascii="Cambria" w:hAnsi="Cambria" w:cstheme="minorHAnsi"/>
          <w:sz w:val="24"/>
          <w:szCs w:val="24"/>
        </w:rPr>
        <w:t xml:space="preserve"> Advertência, quando a Contratada der causa à inexecução parcial do contrato, sempre que não se justificar a imposição de penalidade mais grave);</w:t>
      </w:r>
    </w:p>
    <w:p>
      <w:pPr>
        <w:jc w:val="both"/>
        <w:rPr>
          <w:rFonts w:ascii="Cambria" w:hAnsi="Cambria" w:cstheme="minorHAnsi"/>
          <w:sz w:val="24"/>
          <w:szCs w:val="24"/>
        </w:rPr>
      </w:pPr>
      <w:r>
        <w:rPr>
          <w:rFonts w:ascii="Cambria" w:hAnsi="Cambria" w:cstheme="minorHAnsi"/>
          <w:b/>
          <w:sz w:val="24"/>
          <w:szCs w:val="24"/>
        </w:rPr>
        <w:t>b)</w:t>
      </w:r>
      <w:r>
        <w:rPr>
          <w:rFonts w:ascii="Cambria" w:hAnsi="Cambria" w:cstheme="minorHAnsi"/>
          <w:sz w:val="24"/>
          <w:szCs w:val="24"/>
        </w:rPr>
        <w:t xml:space="preserve"> Impedimento de licitar e contratar, quando praticadas as condutas descritas nas alíneas b, c, d, e, f e g do subitem acima deste contrato, sempre que não se justificar a imposição de penalidade mais grave. </w:t>
      </w:r>
    </w:p>
    <w:p>
      <w:pPr>
        <w:jc w:val="both"/>
        <w:rPr>
          <w:rFonts w:ascii="Cambria" w:hAnsi="Cambria" w:cstheme="minorHAnsi"/>
          <w:sz w:val="24"/>
          <w:szCs w:val="24"/>
        </w:rPr>
      </w:pPr>
      <w:r>
        <w:rPr>
          <w:rFonts w:ascii="Cambria" w:hAnsi="Cambria" w:cstheme="minorHAnsi"/>
          <w:b/>
          <w:sz w:val="24"/>
          <w:szCs w:val="24"/>
        </w:rPr>
        <w:t>c)</w:t>
      </w:r>
      <w:r>
        <w:rPr>
          <w:rFonts w:ascii="Cambria" w:hAnsi="Cambria" w:cstheme="minorHAnsi"/>
          <w:sz w:val="24"/>
          <w:szCs w:val="24"/>
        </w:rPr>
        <w:t xml:space="preserve"> Declaração de inidoneidade para licitar e contratar, quando praticadas as condutas descritas nas alíneas h, i, j, k e l do subitem acima deste contrato, bem como nas alíneas b, c, d, e, f e g, que justifiquem a imposição de penalidade mais grave</w:t>
      </w:r>
    </w:p>
    <w:p>
      <w:pPr>
        <w:jc w:val="both"/>
        <w:rPr>
          <w:rFonts w:ascii="Cambria" w:hAnsi="Cambria" w:cstheme="minorHAnsi"/>
          <w:sz w:val="24"/>
          <w:szCs w:val="24"/>
        </w:rPr>
      </w:pPr>
      <w:r>
        <w:rPr>
          <w:rFonts w:ascii="Cambria" w:hAnsi="Cambria" w:cstheme="minorHAnsi"/>
          <w:b/>
          <w:sz w:val="24"/>
          <w:szCs w:val="24"/>
        </w:rPr>
        <w:t>d)</w:t>
      </w:r>
      <w:r>
        <w:rPr>
          <w:rFonts w:ascii="Cambria" w:hAnsi="Cambria" w:cstheme="minorHAnsi"/>
          <w:sz w:val="24"/>
          <w:szCs w:val="24"/>
        </w:rPr>
        <w:t xml:space="preserve"> Multa:</w:t>
      </w:r>
    </w:p>
    <w:p>
      <w:pPr>
        <w:jc w:val="both"/>
        <w:rPr>
          <w:rFonts w:ascii="Cambria" w:hAnsi="Cambria" w:cstheme="minorHAnsi"/>
          <w:sz w:val="24"/>
          <w:szCs w:val="24"/>
        </w:rPr>
      </w:pPr>
      <w:r>
        <w:rPr>
          <w:rFonts w:ascii="Cambria" w:hAnsi="Cambria" w:cstheme="minorHAnsi"/>
          <w:sz w:val="24"/>
          <w:szCs w:val="24"/>
        </w:rPr>
        <w:t>(1) moratória de 1% (um décimos por cento) por dia de atraso injustificado sobre o valor da parcela inadimplida, até o limite de 30% (trinta por cento) do contrato ou instrumento equivalente;</w:t>
      </w:r>
    </w:p>
    <w:p>
      <w:pPr>
        <w:jc w:val="both"/>
        <w:rPr>
          <w:rFonts w:ascii="Cambria" w:hAnsi="Cambria" w:cstheme="minorHAnsi"/>
          <w:sz w:val="24"/>
          <w:szCs w:val="24"/>
        </w:rPr>
      </w:pPr>
      <w:r>
        <w:rPr>
          <w:rFonts w:ascii="Cambria" w:hAnsi="Cambria" w:cstheme="minorHAnsi"/>
          <w:sz w:val="24"/>
          <w:szCs w:val="24"/>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pPr>
        <w:jc w:val="both"/>
        <w:rPr>
          <w:rFonts w:ascii="Cambria" w:hAnsi="Cambria" w:cstheme="minorHAnsi"/>
          <w:sz w:val="24"/>
          <w:szCs w:val="24"/>
        </w:rPr>
      </w:pPr>
      <w:r>
        <w:rPr>
          <w:rFonts w:ascii="Cambria" w:hAnsi="Cambria" w:cstheme="minorHAnsi"/>
          <w:sz w:val="24"/>
          <w:szCs w:val="24"/>
        </w:rPr>
        <w:t>(3) compensatória de até 3% (três por cento) sobre o valor de referência ao licitante ou contratada que retardar o procedimento de contratação, descumprir preceito normativo ou obrigações assumidas, tais como:</w:t>
      </w:r>
    </w:p>
    <w:p>
      <w:pPr>
        <w:jc w:val="both"/>
        <w:rPr>
          <w:rFonts w:ascii="Cambria" w:hAnsi="Cambria" w:cstheme="minorHAnsi"/>
          <w:sz w:val="24"/>
          <w:szCs w:val="24"/>
        </w:rPr>
      </w:pPr>
      <w:r>
        <w:rPr>
          <w:rFonts w:ascii="Cambria" w:hAnsi="Cambria" w:cstheme="minorHAnsi"/>
          <w:sz w:val="24"/>
          <w:szCs w:val="24"/>
        </w:rPr>
        <w:t>I – Propor recursos manifestamente protelatórios em sede de contratação direta;</w:t>
      </w:r>
    </w:p>
    <w:p>
      <w:pPr>
        <w:jc w:val="both"/>
        <w:rPr>
          <w:rFonts w:ascii="Cambria" w:hAnsi="Cambria" w:cstheme="minorHAnsi"/>
          <w:sz w:val="24"/>
          <w:szCs w:val="24"/>
        </w:rPr>
      </w:pPr>
      <w:r>
        <w:rPr>
          <w:rFonts w:ascii="Cambria" w:hAnsi="Cambria" w:cstheme="minorHAnsi"/>
          <w:sz w:val="24"/>
          <w:szCs w:val="24"/>
        </w:rPr>
        <w:t>II – Deixar de providenciar o cadastramento da empresa vencedora da licitação ou da contratação direta junto ao Sistema de Cadastro de Fornecedores dentro do prazo concedido, salvo por motivo justificado e aceito pela administração;</w:t>
      </w:r>
    </w:p>
    <w:p>
      <w:pPr>
        <w:jc w:val="both"/>
        <w:rPr>
          <w:rFonts w:ascii="Cambria" w:hAnsi="Cambria" w:cstheme="minorHAnsi"/>
          <w:sz w:val="24"/>
          <w:szCs w:val="24"/>
        </w:rPr>
      </w:pPr>
      <w:r>
        <w:rPr>
          <w:rFonts w:ascii="Cambria" w:hAnsi="Cambria" w:cstheme="minorHAnsi"/>
          <w:sz w:val="24"/>
          <w:szCs w:val="24"/>
        </w:rPr>
        <w:t>III – Deixar de cumprir as exigências de reserva de cargos previstas em lei, bem como em outras normas específicas, para pessoa com deficiência, para reabilitado da Previdência Social e para aprendiz;</w:t>
      </w:r>
    </w:p>
    <w:p>
      <w:pPr>
        <w:jc w:val="both"/>
        <w:rPr>
          <w:rFonts w:ascii="Cambria" w:hAnsi="Cambria" w:cstheme="minorHAnsi"/>
          <w:sz w:val="24"/>
          <w:szCs w:val="24"/>
        </w:rPr>
      </w:pPr>
      <w:r>
        <w:rPr>
          <w:rFonts w:ascii="Cambria" w:hAnsi="Cambria" w:cstheme="minorHAnsi"/>
          <w:sz w:val="24"/>
          <w:szCs w:val="24"/>
        </w:rPr>
        <w:t>IV – Deixar de cumprir o modelo de gestão do contrato;</w:t>
      </w:r>
    </w:p>
    <w:p>
      <w:pPr>
        <w:jc w:val="both"/>
        <w:rPr>
          <w:rFonts w:ascii="Cambria" w:hAnsi="Cambria" w:cstheme="minorHAnsi"/>
          <w:sz w:val="24"/>
          <w:szCs w:val="24"/>
        </w:rPr>
      </w:pPr>
      <w:r>
        <w:rPr>
          <w:rFonts w:ascii="Cambria" w:hAnsi="Cambria" w:cstheme="minorHAnsi"/>
          <w:sz w:val="24"/>
          <w:szCs w:val="24"/>
        </w:rPr>
        <w:t>V – Deixar de complementar o valor da garantia recolhida após solicitação do Contratante;</w:t>
      </w:r>
    </w:p>
    <w:p>
      <w:pPr>
        <w:jc w:val="both"/>
        <w:rPr>
          <w:rFonts w:ascii="Cambria" w:hAnsi="Cambria" w:cstheme="minorHAnsi"/>
          <w:sz w:val="24"/>
          <w:szCs w:val="24"/>
        </w:rPr>
      </w:pPr>
      <w:r>
        <w:rPr>
          <w:rFonts w:ascii="Cambria" w:hAnsi="Cambria" w:cstheme="minorHAnsi"/>
          <w:sz w:val="24"/>
          <w:szCs w:val="24"/>
        </w:rPr>
        <w:t>VI – Não devolver os valores pagos indevidamente pelo Contratante;</w:t>
      </w:r>
    </w:p>
    <w:p>
      <w:pPr>
        <w:jc w:val="both"/>
        <w:rPr>
          <w:rFonts w:ascii="Cambria" w:hAnsi="Cambria" w:cstheme="minorHAnsi"/>
          <w:sz w:val="24"/>
          <w:szCs w:val="24"/>
        </w:rPr>
      </w:pPr>
      <w:r>
        <w:rPr>
          <w:rFonts w:ascii="Cambria" w:hAnsi="Cambria" w:cstheme="minorHAnsi"/>
          <w:sz w:val="24"/>
          <w:szCs w:val="24"/>
        </w:rPr>
        <w:t>VII – Não manter, durante a execução do contrato, todas as condições exigidas para a habilitação, em caso de licitação, ou para a qualificação, em caso de contratação direta, ou, ainda, quaisquer outras obrigações;</w:t>
      </w:r>
    </w:p>
    <w:p>
      <w:pPr>
        <w:jc w:val="both"/>
        <w:rPr>
          <w:rFonts w:ascii="Cambria" w:hAnsi="Cambria" w:cstheme="minorHAnsi"/>
          <w:sz w:val="24"/>
          <w:szCs w:val="24"/>
        </w:rPr>
      </w:pPr>
      <w:r>
        <w:rPr>
          <w:rFonts w:ascii="Cambria" w:hAnsi="Cambria" w:cstheme="minorHAnsi"/>
          <w:sz w:val="24"/>
          <w:szCs w:val="24"/>
        </w:rPr>
        <w:t>VIII – deixar de regularizar, no prazo definido pela administração, os documentos exigidos pela legislação para fins de liquidação e pagamento da despesa;</w:t>
      </w:r>
    </w:p>
    <w:p>
      <w:pPr>
        <w:jc w:val="both"/>
        <w:rPr>
          <w:rFonts w:ascii="Cambria" w:hAnsi="Cambria" w:cstheme="minorHAnsi"/>
          <w:sz w:val="24"/>
          <w:szCs w:val="24"/>
        </w:rPr>
      </w:pPr>
      <w:r>
        <w:rPr>
          <w:rFonts w:ascii="Cambria" w:hAnsi="Cambria" w:cstheme="minorHAnsi"/>
          <w:sz w:val="24"/>
          <w:szCs w:val="24"/>
        </w:rPr>
        <w:t>IX – Manter funcionário sem qualificação para a execução do objeto;</w:t>
      </w:r>
    </w:p>
    <w:p>
      <w:pPr>
        <w:jc w:val="both"/>
        <w:rPr>
          <w:rFonts w:ascii="Cambria" w:hAnsi="Cambria" w:cstheme="minorHAnsi"/>
          <w:sz w:val="24"/>
          <w:szCs w:val="24"/>
        </w:rPr>
      </w:pPr>
      <w:r>
        <w:rPr>
          <w:rFonts w:ascii="Cambria" w:hAnsi="Cambria" w:cstheme="minorHAnsi"/>
          <w:sz w:val="24"/>
          <w:szCs w:val="24"/>
        </w:rPr>
        <w:t>X – Utilizar as dependências do Contratante para fins diversos do objeto do contrato;</w:t>
      </w:r>
    </w:p>
    <w:p>
      <w:pPr>
        <w:jc w:val="both"/>
        <w:rPr>
          <w:rFonts w:ascii="Cambria" w:hAnsi="Cambria" w:cstheme="minorHAnsi"/>
          <w:sz w:val="24"/>
          <w:szCs w:val="24"/>
        </w:rPr>
      </w:pPr>
      <w:r>
        <w:rPr>
          <w:rFonts w:ascii="Cambria" w:hAnsi="Cambria" w:cstheme="minorHAnsi"/>
          <w:sz w:val="24"/>
          <w:szCs w:val="24"/>
        </w:rPr>
        <w:t>XI – deixar de substituir empregado cujo comportamento for incompatível com o interesse público, em especial quando solicitado pela administração;</w:t>
      </w:r>
    </w:p>
    <w:p>
      <w:pPr>
        <w:jc w:val="both"/>
        <w:rPr>
          <w:rFonts w:ascii="Cambria" w:hAnsi="Cambria" w:cstheme="minorHAnsi"/>
          <w:sz w:val="24"/>
          <w:szCs w:val="24"/>
        </w:rPr>
      </w:pPr>
      <w:r>
        <w:rPr>
          <w:rFonts w:ascii="Cambria" w:hAnsi="Cambria" w:cstheme="minorHAnsi"/>
          <w:sz w:val="24"/>
          <w:szCs w:val="24"/>
        </w:rPr>
        <w:t>XII – deixar de efetuar o pagamento de salários, vale-transporte, vale-refeição, seguros, encargos fiscais e sociais, bem como deixar de arcar com quaisquer outras despesas relacionadas à execução do contrato nas datas avençadas;</w:t>
      </w:r>
    </w:p>
    <w:p>
      <w:pPr>
        <w:jc w:val="both"/>
        <w:rPr>
          <w:rFonts w:ascii="Cambria" w:hAnsi="Cambria" w:cstheme="minorHAnsi"/>
          <w:sz w:val="24"/>
          <w:szCs w:val="24"/>
        </w:rPr>
      </w:pPr>
      <w:r>
        <w:rPr>
          <w:rFonts w:ascii="Cambria" w:hAnsi="Cambria" w:cstheme="minorHAnsi"/>
          <w:sz w:val="24"/>
          <w:szCs w:val="24"/>
        </w:rPr>
        <w:t>XIII – deixar de apresentar, quando solicitado, documentação fiscal, trabalhista e previdenciária regularizada;</w:t>
      </w:r>
    </w:p>
    <w:p>
      <w:pPr>
        <w:jc w:val="both"/>
        <w:rPr>
          <w:rFonts w:ascii="Cambria" w:hAnsi="Cambria" w:cstheme="minorHAnsi"/>
          <w:sz w:val="24"/>
          <w:szCs w:val="24"/>
        </w:rPr>
      </w:pPr>
      <w:r>
        <w:rPr>
          <w:rFonts w:ascii="Cambria" w:hAnsi="Cambria" w:cstheme="minorHAnsi"/>
          <w:sz w:val="24"/>
          <w:szCs w:val="24"/>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pPr>
        <w:jc w:val="both"/>
        <w:rPr>
          <w:rFonts w:ascii="Cambria" w:hAnsi="Cambria" w:cstheme="minorHAnsi"/>
          <w:sz w:val="24"/>
          <w:szCs w:val="24"/>
        </w:rPr>
      </w:pPr>
      <w:r>
        <w:rPr>
          <w:rFonts w:ascii="Cambria" w:hAnsi="Cambria" w:cstheme="minorHAnsi"/>
          <w:sz w:val="24"/>
          <w:szCs w:val="24"/>
        </w:rPr>
        <w:t>XV – Não manter atualizado e-mail para contato, sobretudo dos prepostos, nem informar à gestão e à fiscalização do contrato, no prazo de dois dias, a alteração de endereços, sobretudo quando este ato frustrar a regular notificação de instauração de processo sancionador;</w:t>
      </w:r>
    </w:p>
    <w:p>
      <w:pPr>
        <w:jc w:val="both"/>
        <w:rPr>
          <w:rFonts w:ascii="Cambria" w:hAnsi="Cambria" w:cstheme="minorHAnsi"/>
          <w:sz w:val="24"/>
          <w:szCs w:val="24"/>
        </w:rPr>
      </w:pPr>
      <w:r>
        <w:rPr>
          <w:rFonts w:ascii="Cambria" w:hAnsi="Cambria" w:cstheme="minorHAnsi"/>
          <w:sz w:val="24"/>
          <w:szCs w:val="24"/>
        </w:rPr>
        <w:t>XVI – subcontratar o objeto ou a execução de serviços em percentual superior ao permitido no contrato, ou de forma que configure inexistência de condições reais de prestação do serviço ou fornecimento do bem.</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sz w:val="24"/>
          <w:szCs w:val="24"/>
        </w:rPr>
        <w:t>Nota Explicativa:</w:t>
      </w:r>
      <w:r>
        <w:rPr>
          <w:rFonts w:ascii="Cambria" w:hAnsi="Cambria" w:cstheme="minorHAnsi"/>
          <w:sz w:val="24"/>
          <w:szCs w:val="24"/>
        </w:rPr>
        <w:t xml:space="preserve"> É possível inserir hipóteses de multa e percentuais específicos para o fornecimento indicado, conforme detalhamento e especificidades indicadas no ETP ou TR, inclusive com periodicidade de atraso diferente do indicado no decreto (hora, quinzena etc)</w:t>
      </w:r>
    </w:p>
    <w:p>
      <w:pPr>
        <w:jc w:val="both"/>
        <w:rPr>
          <w:rFonts w:ascii="Cambria" w:hAnsi="Cambria" w:cstheme="minorHAnsi"/>
          <w:sz w:val="24"/>
          <w:szCs w:val="24"/>
        </w:rPr>
      </w:pPr>
      <w:r>
        <w:rPr>
          <w:rFonts w:ascii="Cambria" w:hAnsi="Cambria" w:cstheme="minorHAnsi"/>
          <w:b/>
          <w:sz w:val="24"/>
          <w:szCs w:val="24"/>
        </w:rPr>
        <w:t>e)</w:t>
      </w:r>
      <w:r>
        <w:rPr>
          <w:rFonts w:ascii="Cambria" w:hAnsi="Cambria" w:cstheme="minorHAnsi"/>
          <w:sz w:val="24"/>
          <w:szCs w:val="24"/>
        </w:rPr>
        <w:t xml:space="preserve"> O atraso superior a 20(vinte) dias, ou a manutenção da irregularidade, autoriza a Administração a promover a rescisão do contrato por descumprimento ou cumprimento irregular de suas cláusulas, conforme dispõe o inciso I do art. 137 da Lei n. 14.133, de 2021. </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7.3.</w:t>
      </w:r>
      <w:r>
        <w:rPr>
          <w:rFonts w:ascii="Cambria" w:hAnsi="Cambria" w:cstheme="minorHAnsi"/>
          <w:sz w:val="24"/>
          <w:szCs w:val="24"/>
        </w:rPr>
        <w:t xml:space="preserve"> A aplicação das sanções previstas neste contrato não exclui, em hipótese alguma, a obrigação de reparação integral do dano causado ao Contratante.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7.4.</w:t>
      </w:r>
      <w:r>
        <w:rPr>
          <w:rFonts w:ascii="Cambria" w:hAnsi="Cambria" w:cstheme="minorHAnsi"/>
          <w:sz w:val="24"/>
          <w:szCs w:val="24"/>
        </w:rPr>
        <w:t xml:space="preserve"> Todas as sanções previstas neste contrato poderão ser aplicadas cumulativamente com a multa </w:t>
      </w:r>
    </w:p>
    <w:p>
      <w:pPr>
        <w:jc w:val="both"/>
        <w:rPr>
          <w:rFonts w:ascii="Cambria" w:hAnsi="Cambria" w:cstheme="minorHAnsi"/>
          <w:sz w:val="24"/>
          <w:szCs w:val="24"/>
        </w:rPr>
      </w:pPr>
      <w:r>
        <w:rPr>
          <w:rFonts w:ascii="Cambria" w:hAnsi="Cambria" w:cstheme="minorHAnsi"/>
          <w:b/>
          <w:bCs/>
          <w:sz w:val="24"/>
          <w:szCs w:val="24"/>
        </w:rPr>
        <w:t>7.4.1.</w:t>
      </w:r>
      <w:r>
        <w:rPr>
          <w:rFonts w:ascii="Cambria" w:hAnsi="Cambria" w:cstheme="minorHAnsi"/>
          <w:sz w:val="24"/>
          <w:szCs w:val="24"/>
        </w:rPr>
        <w:t xml:space="preserve"> Se a multa aplicada e as indenizações cabíveis forem superiores ao valor do pagamento eventualmente devido pelo Contratante à Contratada, além da perda desse valor, a diferença será descontada da garantia prestada ou será cobrada judicialmente.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7.4.2.</w:t>
      </w:r>
      <w:r>
        <w:rPr>
          <w:rFonts w:ascii="Cambria" w:hAnsi="Cambria" w:cstheme="minorHAnsi"/>
          <w:sz w:val="24"/>
          <w:szCs w:val="24"/>
        </w:rPr>
        <w:t xml:space="preserve"> Previamente ao encaminhamento à cobrança judicial, a multa poderá ser recolhida administrativamente no prazo máximo de 05 (cinco) dias, a contar da data do recebimento da comunicação enviada pela autoridade competente.</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b/>
          <w:bCs/>
          <w:sz w:val="24"/>
          <w:szCs w:val="24"/>
        </w:rPr>
        <w:t>7.5.</w:t>
      </w:r>
      <w:r>
        <w:rPr>
          <w:rFonts w:ascii="Cambria" w:hAnsi="Cambria" w:cstheme="minorHAnsi"/>
          <w:sz w:val="24"/>
          <w:szCs w:val="24"/>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7.6.</w:t>
      </w:r>
      <w:r>
        <w:rPr>
          <w:rFonts w:ascii="Cambria" w:hAnsi="Cambria" w:cstheme="minorHAnsi"/>
          <w:sz w:val="24"/>
          <w:szCs w:val="24"/>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7.7.</w:t>
      </w:r>
      <w:r>
        <w:rPr>
          <w:rFonts w:ascii="Cambria" w:hAnsi="Cambria" w:cstheme="minorHAnsi"/>
          <w:sz w:val="24"/>
          <w:szCs w:val="24"/>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w:t>
      </w:r>
      <w:r>
        <w:rPr>
          <w:rFonts w:ascii="Cambria" w:hAnsi="Cambria" w:cstheme="minorHAnsi"/>
          <w:sz w:val="24"/>
          <w:szCs w:val="24"/>
        </w:rPr>
        <w:lastRenderedPageBreak/>
        <w:t xml:space="preserve">coligação ou controle, de fato ou de direito, com a Contratada, observados, em todos os casos, o contraditório, a ampla defesa e a obrigatoriedade de análise jurídica prévia. </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7.8.</w:t>
      </w:r>
      <w:r>
        <w:rPr>
          <w:rFonts w:ascii="Cambria" w:hAnsi="Cambria" w:cstheme="minorHAnsi"/>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7.9.</w:t>
      </w:r>
      <w:r>
        <w:rPr>
          <w:rFonts w:ascii="Cambria" w:hAnsi="Cambria" w:cstheme="minorHAnsi"/>
          <w:sz w:val="24"/>
          <w:szCs w:val="24"/>
        </w:rPr>
        <w:t xml:space="preserve"> As sanções de impedimento de licitar e contratar e declaração de inidoneidade para licitar ou contratar são passíveis de reabilitação na forma do Decreto municipal vigente.</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OITAVA - DA EXTINÇÃO CONTRATUAL</w:t>
      </w:r>
    </w:p>
    <w:p>
      <w:pPr>
        <w:jc w:val="both"/>
        <w:rPr>
          <w:rFonts w:ascii="Cambria" w:hAnsi="Cambria" w:cstheme="minorHAnsi"/>
          <w:sz w:val="24"/>
          <w:szCs w:val="24"/>
        </w:rPr>
      </w:pPr>
      <w:r>
        <w:rPr>
          <w:rFonts w:ascii="Cambria" w:hAnsi="Cambria" w:cstheme="minorHAnsi"/>
          <w:b/>
          <w:sz w:val="24"/>
          <w:szCs w:val="24"/>
        </w:rPr>
        <w:t>8.1.</w:t>
      </w:r>
      <w:r>
        <w:rPr>
          <w:rFonts w:ascii="Cambria" w:hAnsi="Cambria" w:cstheme="minorHAnsi"/>
          <w:sz w:val="24"/>
          <w:szCs w:val="24"/>
        </w:rPr>
        <w:t>O contrato pode ser extinto antes de cumpridas as obrigações nele estipuladas, ou antes do prazo nele fixado, por algum dos motivos previstos no artigo 137 da Lei nº 14.133/2021, bem como amigavelmente, assegurados o contraditório e a ampla defesa.</w:t>
      </w:r>
    </w:p>
    <w:p>
      <w:pPr>
        <w:jc w:val="both"/>
        <w:rPr>
          <w:rFonts w:ascii="Cambria" w:hAnsi="Cambria" w:cstheme="minorHAnsi"/>
          <w:sz w:val="24"/>
          <w:szCs w:val="24"/>
        </w:rPr>
      </w:pPr>
      <w:r>
        <w:rPr>
          <w:rFonts w:ascii="Cambria" w:hAnsi="Cambria" w:cstheme="minorHAnsi"/>
          <w:b/>
          <w:bCs/>
          <w:sz w:val="24"/>
          <w:szCs w:val="24"/>
        </w:rPr>
        <w:t>8.1.1.</w:t>
      </w:r>
      <w:r>
        <w:rPr>
          <w:rFonts w:ascii="Cambria" w:hAnsi="Cambria" w:cstheme="minorHAnsi"/>
          <w:sz w:val="24"/>
          <w:szCs w:val="24"/>
        </w:rPr>
        <w:t xml:space="preserve"> Nesta hipótese, aplicam-se também os artigos 138 e 139 da mesma Lei.</w:t>
      </w:r>
    </w:p>
    <w:p>
      <w:pPr>
        <w:jc w:val="both"/>
        <w:rPr>
          <w:rFonts w:ascii="Cambria" w:hAnsi="Cambria" w:cstheme="minorHAnsi"/>
          <w:sz w:val="24"/>
          <w:szCs w:val="24"/>
        </w:rPr>
      </w:pPr>
      <w:r>
        <w:rPr>
          <w:rFonts w:ascii="Cambria" w:hAnsi="Cambria" w:cstheme="minorHAnsi"/>
          <w:b/>
          <w:bCs/>
          <w:sz w:val="24"/>
          <w:szCs w:val="24"/>
        </w:rPr>
        <w:t>8.1.2.</w:t>
      </w:r>
      <w:r>
        <w:rPr>
          <w:rFonts w:ascii="Cambria" w:hAnsi="Cambria" w:cstheme="minorHAnsi"/>
          <w:sz w:val="24"/>
          <w:szCs w:val="24"/>
        </w:rPr>
        <w:t xml:space="preserve"> A alteração social ou modificação da finalidade ou da estrutura da empresa não ensejará rescisão se não restringir sua capacidade de concluir o contrato.</w:t>
      </w:r>
    </w:p>
    <w:p>
      <w:pPr>
        <w:jc w:val="both"/>
        <w:rPr>
          <w:rFonts w:ascii="Cambria" w:hAnsi="Cambria" w:cstheme="minorHAnsi"/>
          <w:sz w:val="24"/>
          <w:szCs w:val="24"/>
        </w:rPr>
      </w:pPr>
      <w:r>
        <w:rPr>
          <w:rFonts w:ascii="Cambria" w:hAnsi="Cambria" w:cstheme="minorHAnsi"/>
          <w:b/>
          <w:bCs/>
          <w:sz w:val="24"/>
          <w:szCs w:val="24"/>
        </w:rPr>
        <w:t>8.1.2.1.</w:t>
      </w:r>
      <w:r>
        <w:rPr>
          <w:rFonts w:ascii="Cambria" w:hAnsi="Cambria" w:cstheme="minorHAnsi"/>
          <w:sz w:val="24"/>
          <w:szCs w:val="24"/>
        </w:rPr>
        <w:t xml:space="preserve"> Se a operação implicar mudança da pessoa jurídica contratada, deverá ser formalizado termo aditivo para alteração subjetiva.</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8.2.</w:t>
      </w:r>
      <w:r>
        <w:rPr>
          <w:rFonts w:ascii="Cambria" w:hAnsi="Cambria" w:cstheme="minorHAnsi"/>
          <w:sz w:val="24"/>
          <w:szCs w:val="24"/>
        </w:rPr>
        <w:t xml:space="preserve"> O termo de rescisão, sempre que possível, será precedido:</w:t>
      </w:r>
    </w:p>
    <w:p>
      <w:pPr>
        <w:jc w:val="both"/>
        <w:rPr>
          <w:rFonts w:ascii="Cambria" w:hAnsi="Cambria" w:cstheme="minorHAnsi"/>
          <w:sz w:val="24"/>
          <w:szCs w:val="24"/>
        </w:rPr>
      </w:pPr>
      <w:r>
        <w:rPr>
          <w:rFonts w:ascii="Cambria" w:hAnsi="Cambria" w:cstheme="minorHAnsi"/>
          <w:b/>
          <w:bCs/>
          <w:sz w:val="24"/>
          <w:szCs w:val="24"/>
        </w:rPr>
        <w:t>8.2.1.</w:t>
      </w:r>
      <w:r>
        <w:rPr>
          <w:rFonts w:ascii="Cambria" w:hAnsi="Cambria" w:cstheme="minorHAnsi"/>
          <w:sz w:val="24"/>
          <w:szCs w:val="24"/>
        </w:rPr>
        <w:t xml:space="preserve"> Balanço dos eventos contratuais já cumpridos ou parcialmente cumpridos;</w:t>
      </w:r>
    </w:p>
    <w:p>
      <w:pPr>
        <w:jc w:val="both"/>
        <w:rPr>
          <w:rFonts w:ascii="Cambria" w:hAnsi="Cambria" w:cstheme="minorHAnsi"/>
          <w:sz w:val="24"/>
          <w:szCs w:val="24"/>
        </w:rPr>
      </w:pPr>
      <w:r>
        <w:rPr>
          <w:rFonts w:ascii="Cambria" w:hAnsi="Cambria" w:cstheme="minorHAnsi"/>
          <w:b/>
          <w:bCs/>
          <w:sz w:val="24"/>
          <w:szCs w:val="24"/>
        </w:rPr>
        <w:t>8.2.2.</w:t>
      </w:r>
      <w:r>
        <w:rPr>
          <w:rFonts w:ascii="Cambria" w:hAnsi="Cambria" w:cstheme="minorHAnsi"/>
          <w:sz w:val="24"/>
          <w:szCs w:val="24"/>
        </w:rPr>
        <w:t xml:space="preserve"> Relação dos pagamentos já efetuados e ainda devidos;</w:t>
      </w:r>
    </w:p>
    <w:p>
      <w:pPr>
        <w:jc w:val="both"/>
        <w:rPr>
          <w:rFonts w:ascii="Cambria" w:hAnsi="Cambria" w:cstheme="minorHAnsi"/>
          <w:sz w:val="24"/>
          <w:szCs w:val="24"/>
        </w:rPr>
      </w:pPr>
      <w:r>
        <w:rPr>
          <w:rFonts w:ascii="Cambria" w:hAnsi="Cambria" w:cstheme="minorHAnsi"/>
          <w:b/>
          <w:bCs/>
          <w:sz w:val="24"/>
          <w:szCs w:val="24"/>
        </w:rPr>
        <w:t>8.2.3.</w:t>
      </w:r>
      <w:r>
        <w:rPr>
          <w:rFonts w:ascii="Cambria" w:hAnsi="Cambria" w:cstheme="minorHAnsi"/>
          <w:sz w:val="24"/>
          <w:szCs w:val="24"/>
        </w:rPr>
        <w:t xml:space="preserve"> Indenizações e multas.</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8.3.</w:t>
      </w:r>
      <w:r>
        <w:rPr>
          <w:rFonts w:ascii="Cambria" w:hAnsi="Cambria" w:cstheme="minorHAnsi"/>
          <w:sz w:val="24"/>
          <w:szCs w:val="24"/>
        </w:rPr>
        <w:t xml:space="preserve"> A extinção do contrato não configura óbice para o reconhecimento do desequilíbrio econômico-financeiro, hipótese em que será concedida indenização por meio de termo indenizatório, obedecidas as condicionantes legais.</w:t>
      </w:r>
    </w:p>
    <w:p>
      <w:pPr>
        <w:jc w:val="both"/>
        <w:rPr>
          <w:rFonts w:ascii="Cambria" w:hAnsi="Cambria" w:cstheme="minorHAnsi"/>
          <w:b/>
          <w:bCs/>
          <w:sz w:val="24"/>
          <w:szCs w:val="24"/>
        </w:rPr>
      </w:pPr>
    </w:p>
    <w:p>
      <w:pPr>
        <w:jc w:val="both"/>
        <w:rPr>
          <w:rFonts w:ascii="Cambria" w:hAnsi="Cambria" w:cstheme="minorHAnsi"/>
          <w:sz w:val="24"/>
          <w:szCs w:val="24"/>
        </w:rPr>
      </w:pPr>
      <w:r>
        <w:rPr>
          <w:rFonts w:ascii="Cambria" w:hAnsi="Cambria" w:cstheme="minorHAnsi"/>
          <w:b/>
          <w:bCs/>
          <w:sz w:val="24"/>
          <w:szCs w:val="24"/>
        </w:rPr>
        <w:t>8.4.</w:t>
      </w:r>
      <w:r>
        <w:rPr>
          <w:rFonts w:ascii="Cambria" w:hAnsi="Cambria" w:cstheme="minorHAnsi"/>
          <w:sz w:val="24"/>
          <w:szCs w:val="24"/>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NONA - DAS DISPOSIÇÕES FINAIS</w:t>
      </w:r>
    </w:p>
    <w:p>
      <w:pPr>
        <w:jc w:val="both"/>
        <w:rPr>
          <w:rFonts w:ascii="Cambria" w:hAnsi="Cambria" w:cstheme="minorHAnsi"/>
          <w:sz w:val="24"/>
          <w:szCs w:val="24"/>
        </w:rPr>
      </w:pPr>
      <w:r>
        <w:rPr>
          <w:rFonts w:ascii="Cambria" w:hAnsi="Cambria" w:cstheme="minorHAnsi"/>
          <w:b/>
          <w:sz w:val="24"/>
          <w:szCs w:val="24"/>
        </w:rPr>
        <w:t>9.1.</w:t>
      </w:r>
      <w:r>
        <w:rPr>
          <w:rFonts w:ascii="Cambria" w:hAnsi="Cambria" w:cstheme="minorHAnsi"/>
          <w:sz w:val="24"/>
          <w:szCs w:val="24"/>
        </w:rPr>
        <w:t xml:space="preserve"> O CONTRATADO se obriga a manter, durante toda a execução do contrato, em compatibilidade com as obrigações por ele assumidas, todas as condições de habilitação e qualificação exigidas na licitação.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9.2.</w:t>
      </w:r>
      <w:r>
        <w:rPr>
          <w:rFonts w:ascii="Cambria" w:hAnsi="Cambria" w:cstheme="minorHAnsi"/>
          <w:sz w:val="24"/>
          <w:szCs w:val="24"/>
        </w:rPr>
        <w:t xml:space="preserve"> O presente contrato tem seus termos e sua execução vinculada ao edital de licitação e à proposta licitatória. </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9.3.</w:t>
      </w:r>
      <w:r>
        <w:rPr>
          <w:rFonts w:ascii="Cambria" w:hAnsi="Cambria" w:cstheme="minorHAnsi"/>
          <w:sz w:val="24"/>
          <w:szCs w:val="24"/>
        </w:rPr>
        <w:t xml:space="preserve"> O CONTRATANTE se reserva o direito de fazer uso de qualquer das prerrogativas dispostas no artigo 104 da Lei nº 14.133/2021 de 1º de abril de 2021, alterada e consolidada.</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9.4.</w:t>
      </w:r>
      <w:r>
        <w:rPr>
          <w:rFonts w:ascii="Cambria" w:hAnsi="Cambria" w:cstheme="minorHAnsi"/>
          <w:sz w:val="24"/>
          <w:szCs w:val="24"/>
        </w:rPr>
        <w:t xml:space="preserve"> O presente contrato poderá ser alterado unilateralmente pela Administração ou por acordo das partes, com as devidas justificativas, nos casos previstos na Lei.</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9.5.</w:t>
      </w:r>
      <w:r>
        <w:rPr>
          <w:rFonts w:ascii="Cambria" w:hAnsi="Cambria" w:cstheme="minorHAnsi"/>
          <w:sz w:val="24"/>
          <w:szCs w:val="24"/>
        </w:rPr>
        <w:t xml:space="preserve"> A inadimplência do contratado com referência aos encargos trabalhistas, fiscais e comerciais não transfere ao CONTRATANTE a responsabilidade por seu pagamento, nem poderá onerar o objeto do contrato ou restringir a regularização e o uso dos serviços pela Administração.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9.6.</w:t>
      </w:r>
      <w:r>
        <w:rPr>
          <w:rFonts w:ascii="Cambria" w:hAnsi="Cambria" w:cstheme="minorHAnsi"/>
          <w:sz w:val="24"/>
          <w:szCs w:val="24"/>
        </w:rPr>
        <w:t xml:space="preserve"> O contratado, na execução do contrato, sem prejuízo das responsabilidades contratuais e legais, não poderá subcontratar partes do contrato sem a expressa autorização da Administração.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9.7.</w:t>
      </w:r>
      <w:r>
        <w:rPr>
          <w:rFonts w:ascii="Cambria" w:hAnsi="Cambria" w:cstheme="minorHAnsi"/>
          <w:sz w:val="24"/>
          <w:szCs w:val="24"/>
        </w:rPr>
        <w:t xml:space="preserve"> A Administração rejeitará, no todo ou em parte, os bens fornecidos em desacordo com os termos do Processo Licitatório, da proposta e deste contrato.</w:t>
      </w:r>
    </w:p>
    <w:p>
      <w:pPr>
        <w:jc w:val="both"/>
        <w:rPr>
          <w:rFonts w:ascii="Cambria" w:hAnsi="Cambria" w:cstheme="minorHAnsi"/>
          <w:sz w:val="24"/>
          <w:szCs w:val="24"/>
        </w:rPr>
      </w:pPr>
      <w:r>
        <w:rPr>
          <w:rFonts w:ascii="Cambria" w:hAnsi="Cambria" w:cstheme="minorHAnsi"/>
          <w:b/>
          <w:sz w:val="24"/>
          <w:szCs w:val="24"/>
        </w:rPr>
        <w:t>9.8.</w:t>
      </w:r>
      <w:r>
        <w:rPr>
          <w:rFonts w:ascii="Cambria" w:hAnsi="Cambria" w:cstheme="minorHAnsi"/>
          <w:sz w:val="24"/>
          <w:szCs w:val="24"/>
        </w:rPr>
        <w:t xml:space="preserve"> Integram o presente contrato, independente de transcrição, todas as peças que formam o procedimento licitatório e a proposta adjudicada.</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9.9.</w:t>
      </w:r>
      <w:r>
        <w:rPr>
          <w:rFonts w:ascii="Cambria" w:hAnsi="Cambria" w:cstheme="minorHAnsi"/>
          <w:sz w:val="24"/>
          <w:szCs w:val="24"/>
        </w:rPr>
        <w:t xml:space="preserve"> A Contratada, na vigência do Contrato, será a única responsável perante terceiros pelos atos praticados por seu pessoal, eximida a Contratante de quaisquer reclamações e indenizações.</w:t>
      </w:r>
    </w:p>
    <w:p>
      <w:pPr>
        <w:jc w:val="both"/>
        <w:rPr>
          <w:rFonts w:ascii="Cambria" w:hAnsi="Cambria" w:cstheme="minorHAnsi"/>
          <w:b/>
          <w:sz w:val="24"/>
          <w:szCs w:val="24"/>
        </w:rPr>
      </w:pPr>
    </w:p>
    <w:p>
      <w:pPr>
        <w:jc w:val="both"/>
        <w:rPr>
          <w:rFonts w:ascii="Cambria" w:hAnsi="Cambria" w:cstheme="minorHAnsi"/>
          <w:b/>
          <w:sz w:val="24"/>
          <w:szCs w:val="24"/>
        </w:rPr>
      </w:pPr>
      <w:r>
        <w:rPr>
          <w:rFonts w:ascii="Cambria" w:hAnsi="Cambria" w:cstheme="minorHAnsi"/>
          <w:b/>
          <w:sz w:val="24"/>
          <w:szCs w:val="24"/>
        </w:rPr>
        <w:t>CLÁUSULA DÉCIMA - DO FORO</w:t>
      </w:r>
    </w:p>
    <w:p>
      <w:pPr>
        <w:jc w:val="both"/>
        <w:rPr>
          <w:rFonts w:ascii="Cambria" w:hAnsi="Cambria" w:cstheme="minorHAnsi"/>
          <w:b/>
          <w:sz w:val="24"/>
          <w:szCs w:val="24"/>
        </w:rPr>
      </w:pPr>
    </w:p>
    <w:p>
      <w:pPr>
        <w:jc w:val="both"/>
        <w:rPr>
          <w:rFonts w:ascii="Cambria" w:hAnsi="Cambria" w:cstheme="minorHAnsi"/>
          <w:sz w:val="24"/>
          <w:szCs w:val="24"/>
        </w:rPr>
      </w:pPr>
      <w:r>
        <w:rPr>
          <w:rFonts w:ascii="Cambria" w:hAnsi="Cambria" w:cstheme="minorHAnsi"/>
          <w:b/>
          <w:sz w:val="24"/>
          <w:szCs w:val="24"/>
        </w:rPr>
        <w:t>10.1.</w:t>
      </w:r>
      <w:r>
        <w:rPr>
          <w:rFonts w:ascii="Cambria" w:hAnsi="Cambria" w:cstheme="minorHAnsi"/>
          <w:sz w:val="24"/>
          <w:szCs w:val="24"/>
        </w:rPr>
        <w:t xml:space="preserve"> O foro da Comarca de Miraíma/CE é o competente para dirimir questões decorrentes da execução deste Contrato, em obediência ao disposto no § 1º do artigo 99 da Lei 14.133/2021 de 1º de abril de 2021, alterada e consolidada.</w:t>
      </w:r>
    </w:p>
    <w:p>
      <w:pPr>
        <w:jc w:val="both"/>
        <w:rPr>
          <w:rFonts w:ascii="Cambria" w:hAnsi="Cambria" w:cstheme="minorHAnsi"/>
          <w:sz w:val="24"/>
          <w:szCs w:val="24"/>
        </w:rPr>
      </w:pPr>
    </w:p>
    <w:p>
      <w:pPr>
        <w:jc w:val="both"/>
        <w:rPr>
          <w:rFonts w:ascii="Cambria" w:hAnsi="Cambria" w:cstheme="minorHAnsi"/>
          <w:sz w:val="24"/>
          <w:szCs w:val="24"/>
        </w:rPr>
      </w:pPr>
      <w:r>
        <w:rPr>
          <w:rFonts w:ascii="Cambria" w:hAnsi="Cambria" w:cstheme="minorHAnsi"/>
          <w:sz w:val="24"/>
          <w:szCs w:val="24"/>
        </w:rPr>
        <w:t xml:space="preserve">Assim pactuadas, as partes firmam o presente Instrumento, lavrado na </w:t>
      </w:r>
      <w:r>
        <w:rPr>
          <w:rFonts w:ascii="Cambria" w:eastAsia="TimesNewRoman" w:hAnsi="Cambria" w:cstheme="minorHAnsi"/>
          <w:sz w:val="24"/>
          <w:szCs w:val="24"/>
        </w:rPr>
        <w:t>Prefeitura Municipal de Miraíma/CE</w:t>
      </w:r>
      <w:r>
        <w:rPr>
          <w:rFonts w:ascii="Cambria" w:hAnsi="Cambria" w:cstheme="minorHAnsi"/>
          <w:sz w:val="24"/>
          <w:szCs w:val="24"/>
        </w:rPr>
        <w:t>, perante testemunhas que também o assinam, para que produza os seus jurídicos e legais efeitos.</w:t>
      </w:r>
    </w:p>
    <w:p>
      <w:pPr>
        <w:jc w:val="right"/>
        <w:rPr>
          <w:rFonts w:ascii="Cambria" w:hAnsi="Cambria" w:cstheme="minorHAnsi"/>
          <w:sz w:val="24"/>
          <w:szCs w:val="24"/>
        </w:rPr>
      </w:pPr>
    </w:p>
    <w:p>
      <w:pPr>
        <w:jc w:val="right"/>
        <w:rPr>
          <w:rFonts w:ascii="Cambria" w:hAnsi="Cambria" w:cstheme="minorHAnsi"/>
          <w:sz w:val="24"/>
          <w:szCs w:val="24"/>
        </w:rPr>
      </w:pPr>
    </w:p>
    <w:p>
      <w:pPr>
        <w:jc w:val="center"/>
        <w:rPr>
          <w:rFonts w:ascii="Cambria" w:hAnsi="Cambria" w:cstheme="minorHAnsi"/>
          <w:sz w:val="24"/>
          <w:szCs w:val="24"/>
        </w:rPr>
      </w:pPr>
      <w:r>
        <w:rPr>
          <w:rFonts w:ascii="Cambria" w:hAnsi="Cambria" w:cstheme="minorHAnsi"/>
          <w:sz w:val="24"/>
          <w:szCs w:val="24"/>
        </w:rPr>
        <w:t>Miraíma - CE, ____ de __________ de  2026.</w:t>
      </w:r>
    </w:p>
    <w:p>
      <w:pPr>
        <w:jc w:val="center"/>
        <w:rPr>
          <w:rFonts w:ascii="Cambria" w:hAnsi="Cambria" w:cstheme="minorHAnsi"/>
          <w:sz w:val="24"/>
          <w:szCs w:val="24"/>
        </w:rPr>
      </w:pPr>
    </w:p>
    <w:p>
      <w:pPr>
        <w:jc w:val="center"/>
        <w:rPr>
          <w:rFonts w:ascii="Cambria" w:hAnsi="Cambria" w:cstheme="minorHAnsi"/>
          <w:sz w:val="24"/>
          <w:szCs w:val="24"/>
        </w:rPr>
      </w:pPr>
    </w:p>
    <w:p>
      <w:pPr>
        <w:rPr>
          <w:rFonts w:ascii="Cambria" w:hAnsi="Cambria" w:cstheme="minorHAnsi"/>
          <w:sz w:val="24"/>
          <w:szCs w:val="24"/>
        </w:rPr>
      </w:pPr>
      <w:r>
        <w:rPr>
          <w:rFonts w:ascii="Cambria" w:hAnsi="Cambria" w:cstheme="minorHAnsi"/>
          <w:sz w:val="24"/>
          <w:szCs w:val="24"/>
        </w:rPr>
        <w:t xml:space="preserve">                _______________________                                        ______________________</w:t>
      </w:r>
    </w:p>
    <w:tbl>
      <w:tblPr>
        <w:tblW w:w="9606" w:type="dxa"/>
        <w:jc w:val="center"/>
        <w:tblLook w:val="04A0" w:firstRow="1" w:lastRow="0" w:firstColumn="1" w:lastColumn="0" w:noHBand="0" w:noVBand="1"/>
      </w:tblPr>
      <w:tblGrid>
        <w:gridCol w:w="4361"/>
        <w:gridCol w:w="5245"/>
      </w:tblGrid>
      <w:tr>
        <w:trPr>
          <w:jc w:val="center"/>
        </w:trPr>
        <w:tc>
          <w:tcPr>
            <w:tcW w:w="4361" w:type="dxa"/>
          </w:tcPr>
          <w:p>
            <w:pPr>
              <w:autoSpaceDE w:val="0"/>
              <w:autoSpaceDN w:val="0"/>
              <w:adjustRightInd w:val="0"/>
              <w:jc w:val="center"/>
              <w:rPr>
                <w:rFonts w:ascii="Cambria" w:hAnsi="Cambria" w:cstheme="minorHAnsi"/>
                <w:b/>
                <w:bCs/>
                <w:sz w:val="24"/>
                <w:szCs w:val="24"/>
              </w:rPr>
            </w:pPr>
            <w:r>
              <w:rPr>
                <w:rFonts w:ascii="Cambria" w:hAnsi="Cambria" w:cstheme="minorHAnsi"/>
                <w:b/>
                <w:bCs/>
                <w:sz w:val="24"/>
                <w:szCs w:val="24"/>
              </w:rPr>
              <w:t>xxxxxxxxxxxxxxxx</w:t>
            </w:r>
          </w:p>
          <w:p>
            <w:pPr>
              <w:autoSpaceDE w:val="0"/>
              <w:autoSpaceDN w:val="0"/>
              <w:adjustRightInd w:val="0"/>
              <w:jc w:val="center"/>
              <w:rPr>
                <w:rFonts w:ascii="Cambria" w:hAnsi="Cambria" w:cstheme="minorHAnsi"/>
                <w:bCs/>
                <w:sz w:val="24"/>
                <w:szCs w:val="24"/>
              </w:rPr>
            </w:pPr>
            <w:r>
              <w:rPr>
                <w:rFonts w:ascii="Cambria" w:hAnsi="Cambria" w:cstheme="minorHAnsi"/>
                <w:bCs/>
                <w:sz w:val="24"/>
                <w:szCs w:val="24"/>
              </w:rPr>
              <w:t>SECRETARIA MUNICIPAL DE xxxxxxxxxxxxxx</w:t>
            </w:r>
          </w:p>
          <w:p>
            <w:pPr>
              <w:pStyle w:val="WW-Corpodetexto3"/>
              <w:autoSpaceDE w:val="0"/>
              <w:spacing w:after="0"/>
              <w:jc w:val="center"/>
              <w:rPr>
                <w:rFonts w:ascii="Cambria" w:hAnsi="Cambria" w:cstheme="minorHAnsi"/>
                <w:sz w:val="24"/>
                <w:szCs w:val="24"/>
                <w:lang w:eastAsia="pt-BR"/>
              </w:rPr>
            </w:pPr>
            <w:r>
              <w:rPr>
                <w:rFonts w:ascii="Cambria" w:hAnsi="Cambria" w:cstheme="minorHAnsi"/>
                <w:sz w:val="24"/>
                <w:szCs w:val="24"/>
                <w:lang w:eastAsia="pt-BR"/>
              </w:rPr>
              <w:t>CONTRATANTE</w:t>
            </w:r>
          </w:p>
          <w:p>
            <w:pPr>
              <w:autoSpaceDE w:val="0"/>
              <w:autoSpaceDN w:val="0"/>
              <w:adjustRightInd w:val="0"/>
              <w:jc w:val="center"/>
              <w:rPr>
                <w:rFonts w:ascii="Cambria" w:hAnsi="Cambria" w:cstheme="minorHAnsi"/>
                <w:spacing w:val="-4"/>
                <w:sz w:val="24"/>
                <w:szCs w:val="24"/>
              </w:rPr>
            </w:pPr>
          </w:p>
        </w:tc>
        <w:tc>
          <w:tcPr>
            <w:tcW w:w="5245" w:type="dxa"/>
          </w:tcPr>
          <w:p>
            <w:pPr>
              <w:jc w:val="center"/>
              <w:rPr>
                <w:rFonts w:ascii="Cambria" w:hAnsi="Cambria" w:cstheme="minorHAnsi"/>
                <w:iCs/>
                <w:sz w:val="24"/>
                <w:szCs w:val="24"/>
              </w:rPr>
            </w:pPr>
            <w:r>
              <w:rPr>
                <w:rFonts w:ascii="Cambria" w:hAnsi="Cambria" w:cstheme="minorHAnsi"/>
                <w:b/>
                <w:iCs/>
                <w:sz w:val="24"/>
                <w:szCs w:val="24"/>
              </w:rPr>
              <w:t>EMPRESA:</w:t>
            </w:r>
            <w:r>
              <w:rPr>
                <w:rFonts w:ascii="Cambria" w:hAnsi="Cambria" w:cstheme="minorHAnsi"/>
                <w:iCs/>
                <w:sz w:val="24"/>
                <w:szCs w:val="24"/>
              </w:rPr>
              <w:t xml:space="preserve"> </w:t>
            </w:r>
            <w:r>
              <w:rPr>
                <w:rFonts w:ascii="Cambria" w:hAnsi="Cambria" w:cstheme="minorHAnsi"/>
                <w:sz w:val="24"/>
                <w:szCs w:val="24"/>
              </w:rPr>
              <w:t>______________</w:t>
            </w:r>
          </w:p>
          <w:p>
            <w:pPr>
              <w:jc w:val="center"/>
              <w:rPr>
                <w:rFonts w:ascii="Cambria" w:hAnsi="Cambria" w:cstheme="minorHAnsi"/>
                <w:iCs/>
                <w:sz w:val="24"/>
                <w:szCs w:val="24"/>
              </w:rPr>
            </w:pPr>
            <w:r>
              <w:rPr>
                <w:rFonts w:ascii="Cambria" w:hAnsi="Cambria" w:cstheme="minorHAnsi"/>
                <w:iCs/>
                <w:sz w:val="24"/>
                <w:szCs w:val="24"/>
              </w:rPr>
              <w:t xml:space="preserve">Sr(a). </w:t>
            </w:r>
            <w:r>
              <w:rPr>
                <w:rFonts w:ascii="Cambria" w:hAnsi="Cambria" w:cstheme="minorHAnsi"/>
                <w:sz w:val="24"/>
                <w:szCs w:val="24"/>
              </w:rPr>
              <w:t>______________</w:t>
            </w:r>
          </w:p>
          <w:p>
            <w:pPr>
              <w:jc w:val="center"/>
              <w:rPr>
                <w:rFonts w:ascii="Cambria" w:hAnsi="Cambria" w:cstheme="minorHAnsi"/>
                <w:spacing w:val="-4"/>
                <w:sz w:val="24"/>
                <w:szCs w:val="24"/>
              </w:rPr>
            </w:pPr>
            <w:r>
              <w:rPr>
                <w:rFonts w:ascii="Cambria" w:eastAsia="TimesNewRoman" w:hAnsi="Cambria" w:cstheme="minorHAnsi"/>
                <w:sz w:val="24"/>
                <w:szCs w:val="24"/>
              </w:rPr>
              <w:t>CONTRATADA</w:t>
            </w:r>
          </w:p>
        </w:tc>
      </w:tr>
    </w:tbl>
    <w:p>
      <w:pPr>
        <w:rPr>
          <w:rFonts w:ascii="Cambria" w:hAnsi="Cambria" w:cstheme="minorHAnsi"/>
          <w:b/>
          <w:bCs/>
          <w:sz w:val="24"/>
          <w:szCs w:val="24"/>
        </w:rPr>
      </w:pPr>
    </w:p>
    <w:p>
      <w:pPr>
        <w:rPr>
          <w:rFonts w:ascii="Cambria" w:hAnsi="Cambria" w:cstheme="minorHAnsi"/>
          <w:b/>
          <w:sz w:val="24"/>
          <w:szCs w:val="24"/>
        </w:rPr>
      </w:pPr>
      <w:r>
        <w:rPr>
          <w:rFonts w:ascii="Cambria" w:hAnsi="Cambria" w:cstheme="minorHAnsi"/>
          <w:b/>
          <w:sz w:val="24"/>
          <w:szCs w:val="24"/>
        </w:rPr>
        <w:t>TESTEMUNHAS:</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1</w:t>
      </w:r>
      <w:r>
        <w:rPr>
          <w:rFonts w:ascii="Cambria" w:hAnsi="Cambria" w:cstheme="minorHAnsi"/>
          <w:sz w:val="24"/>
          <w:szCs w:val="24"/>
        </w:rPr>
        <w:t>.____________________________________________ CPF nº __________________________</w:t>
      </w:r>
    </w:p>
    <w:p>
      <w:pPr>
        <w:rPr>
          <w:rFonts w:ascii="Cambria" w:hAnsi="Cambria" w:cstheme="minorHAnsi"/>
          <w:b/>
          <w:sz w:val="24"/>
          <w:szCs w:val="24"/>
        </w:rPr>
      </w:pPr>
    </w:p>
    <w:p>
      <w:pPr>
        <w:rPr>
          <w:rFonts w:ascii="Cambria" w:hAnsi="Cambria" w:cstheme="minorHAnsi"/>
          <w:sz w:val="24"/>
          <w:szCs w:val="24"/>
        </w:rPr>
      </w:pPr>
      <w:r>
        <w:rPr>
          <w:rFonts w:ascii="Cambria" w:hAnsi="Cambria" w:cstheme="minorHAnsi"/>
          <w:b/>
          <w:sz w:val="24"/>
          <w:szCs w:val="24"/>
        </w:rPr>
        <w:t>2</w:t>
      </w:r>
      <w:r>
        <w:rPr>
          <w:rFonts w:ascii="Cambria" w:hAnsi="Cambria" w:cstheme="minorHAnsi"/>
          <w:sz w:val="24"/>
          <w:szCs w:val="24"/>
        </w:rPr>
        <w:t>.____________________________________________ CPF nº ________________________</w:t>
      </w:r>
    </w:p>
    <w:p>
      <w:pPr>
        <w:rPr>
          <w:rFonts w:ascii="Cambria" w:hAnsi="Cambria" w:cstheme="minorHAnsi"/>
          <w:sz w:val="24"/>
          <w:szCs w:val="24"/>
        </w:rPr>
      </w:pPr>
      <w:r>
        <w:rPr>
          <w:rFonts w:ascii="Cambria" w:hAnsi="Cambria" w:cstheme="minorHAnsi"/>
          <w:sz w:val="24"/>
          <w:szCs w:val="24"/>
        </w:rPr>
        <w:br w:type="page"/>
      </w:r>
    </w:p>
    <w:p>
      <w:pPr>
        <w:shd w:val="clear" w:color="auto" w:fill="000099"/>
        <w:jc w:val="center"/>
        <w:rPr>
          <w:rFonts w:ascii="Cambria" w:hAnsi="Cambria" w:cstheme="majorHAnsi"/>
          <w:b/>
          <w:bCs/>
          <w:sz w:val="24"/>
          <w:szCs w:val="24"/>
        </w:rPr>
      </w:pPr>
      <w:r>
        <w:rPr>
          <w:rFonts w:ascii="Cambria" w:hAnsi="Cambria" w:cstheme="majorHAnsi"/>
          <w:b/>
          <w:bCs/>
          <w:sz w:val="24"/>
          <w:szCs w:val="24"/>
        </w:rPr>
        <w:lastRenderedPageBreak/>
        <w:t>AVISO DE PREGÃO ELETRÔNICO N° 90011/2026 - PE</w:t>
      </w:r>
    </w:p>
    <w:p>
      <w:pPr>
        <w:jc w:val="center"/>
        <w:rPr>
          <w:rFonts w:ascii="Cambria" w:hAnsi="Cambria" w:cstheme="majorHAnsi"/>
          <w:b/>
          <w:bCs/>
          <w:sz w:val="24"/>
          <w:szCs w:val="24"/>
        </w:rPr>
      </w:pPr>
    </w:p>
    <w:p>
      <w:pPr>
        <w:pStyle w:val="PargrafodaLista"/>
        <w:tabs>
          <w:tab w:val="left" w:pos="3544"/>
        </w:tabs>
        <w:ind w:left="0"/>
        <w:jc w:val="both"/>
        <w:rPr>
          <w:rFonts w:ascii="Cambria" w:hAnsi="Cambria" w:cstheme="majorHAnsi"/>
          <w:i/>
          <w:sz w:val="24"/>
          <w:szCs w:val="24"/>
          <w:lang w:eastAsia="pt-BR"/>
        </w:rPr>
      </w:pPr>
      <w:r>
        <w:rPr>
          <w:rFonts w:ascii="Cambria" w:hAnsi="Cambria" w:cstheme="majorHAnsi"/>
          <w:sz w:val="24"/>
          <w:szCs w:val="24"/>
        </w:rPr>
        <w:t xml:space="preserve">ESTADO DO CEARÁ – PREFEITURA MUNICIPAL DE MIRAÍMA/CE – AVISO DE PREGÃO ELETRÔNICO N° </w:t>
      </w:r>
      <w:r>
        <w:rPr>
          <w:rFonts w:ascii="Cambria" w:hAnsi="Cambria" w:cstheme="majorHAnsi"/>
          <w:b/>
          <w:bCs/>
          <w:sz w:val="24"/>
          <w:szCs w:val="24"/>
        </w:rPr>
        <w:t>90011/2026 - PE</w:t>
      </w:r>
      <w:r>
        <w:rPr>
          <w:rFonts w:ascii="Cambria" w:hAnsi="Cambria" w:cstheme="majorHAnsi"/>
          <w:sz w:val="24"/>
          <w:szCs w:val="24"/>
        </w:rPr>
        <w:t xml:space="preserve">. A Prefeitura Municipal de Miraíma-CE, por meio da Secretária Municipal de Saúde, torna público que se encontra à disposição dos interessados o EDITAL DO PREGÃO ELETRÔNICO Nº </w:t>
      </w:r>
      <w:r>
        <w:rPr>
          <w:rFonts w:ascii="Cambria" w:hAnsi="Cambria" w:cstheme="majorHAnsi"/>
          <w:b/>
          <w:bCs/>
          <w:sz w:val="24"/>
          <w:szCs w:val="24"/>
        </w:rPr>
        <w:t>90011/2026 - PE</w:t>
      </w:r>
      <w:r>
        <w:rPr>
          <w:rFonts w:ascii="Cambria" w:hAnsi="Cambria" w:cstheme="majorHAnsi"/>
          <w:sz w:val="24"/>
          <w:szCs w:val="24"/>
        </w:rPr>
        <w:t xml:space="preserve">, que tem como objeto a </w:t>
      </w:r>
      <w:r>
        <w:rPr>
          <w:rFonts w:ascii="Cambria" w:hAnsi="Cambria" w:cstheme="majorHAnsi"/>
          <w:b/>
          <w:bCs/>
          <w:sz w:val="24"/>
          <w:szCs w:val="24"/>
          <w:lang w:eastAsia="pt-BR"/>
        </w:rPr>
        <w:t xml:space="preserve">CONTRATAÇÃO DE EMPRESA ESPECIALIZADA PARA PRESTAÇÃO DE SERVIÇOS DE RECARGA DE SUPRIMENTOS DE IMPRESSÃO, MANUTENÇÃO PREVENTIVA E CORRETIVA DE IMPRESSORAS, INCLUINDO O FORNECIMENTO E SUBSTITUIÇÃO DE PEÇAS, COMPONENTES E MATERIAIS NECESSÁRIOS À EXECUÇÃO DOS SERVIÇOS, VISANDO ATENDER ÀS NECESSIDADES DA SECRETARIA MUNICIPAL DE SAÚDE DO MUNICÍPIO DE MIRAÍMA/CE. </w:t>
      </w:r>
      <w:r>
        <w:rPr>
          <w:rFonts w:ascii="Cambria" w:hAnsi="Cambria" w:cstheme="majorHAnsi"/>
          <w:sz w:val="24"/>
          <w:szCs w:val="24"/>
        </w:rPr>
        <w:t xml:space="preserve">Esta licitação está sujeita às disposições da Lei Federal nº 14.133/2021. O Edital poderá ser obtido no site do Compras Gov através dos endereços eletrônicos: </w:t>
      </w:r>
      <w:hyperlink r:id="rId78" w:history="1">
        <w:r>
          <w:rPr>
            <w:rStyle w:val="Hyperlink"/>
            <w:rFonts w:ascii="Cambria" w:hAnsi="Cambria" w:cstheme="majorHAnsi"/>
            <w:szCs w:val="24"/>
          </w:rPr>
          <w:t>http://www.comprasgov.com.br</w:t>
        </w:r>
      </w:hyperlink>
      <w:r>
        <w:rPr>
          <w:rFonts w:ascii="Cambria" w:hAnsi="Cambria" w:cstheme="majorHAnsi"/>
          <w:sz w:val="24"/>
          <w:szCs w:val="24"/>
        </w:rPr>
        <w:t xml:space="preserve">, </w:t>
      </w:r>
      <w:r>
        <w:rPr>
          <w:rStyle w:val="Hyperlink"/>
          <w:rFonts w:ascii="Cambria" w:hAnsi="Cambria" w:cstheme="majorHAnsi"/>
          <w:szCs w:val="24"/>
        </w:rPr>
        <w:t>https://www.miraima.ce.gov.br/</w:t>
      </w:r>
      <w:r>
        <w:rPr>
          <w:rFonts w:ascii="Cambria" w:hAnsi="Cambria" w:cstheme="majorHAnsi"/>
          <w:sz w:val="24"/>
          <w:szCs w:val="24"/>
        </w:rPr>
        <w:t xml:space="preserve">ou </w:t>
      </w:r>
      <w:r>
        <w:rPr>
          <w:rStyle w:val="Hyperlink"/>
          <w:rFonts w:ascii="Cambria" w:hAnsi="Cambria" w:cstheme="majorHAnsi"/>
          <w:szCs w:val="24"/>
        </w:rPr>
        <w:t>https://licitacoes.tce.ce.gov.br/</w:t>
      </w:r>
      <w:r>
        <w:rPr>
          <w:rFonts w:ascii="Cambria" w:hAnsi="Cambria" w:cstheme="majorHAnsi"/>
          <w:sz w:val="24"/>
          <w:szCs w:val="24"/>
        </w:rPr>
        <w:t xml:space="preserve">. O recebimento das propostas através do site do site do Compras gov (Comprasnet) dar-se-á até às 08h59min do dia 01/07/2026. Abertura das Propostas: 01/07/2026 às 09h00min. Início da Disputa de Lances às 09h00min dia 01/07/2026 (horário de Brasília). Solicitações de esclarecimento acerca do edital deverão ser enviadas ao endereço eletrônico de e-mail: </w:t>
      </w:r>
      <w:bookmarkStart w:id="85" w:name="_GoBack"/>
      <w:bookmarkEnd w:id="85"/>
      <w:r>
        <w:rPr>
          <w:rFonts w:ascii="Cambria" w:hAnsi="Cambria" w:cstheme="majorHAnsi"/>
          <w:szCs w:val="24"/>
        </w:rPr>
        <w:fldChar w:fldCharType="begin"/>
      </w:r>
      <w:r>
        <w:rPr>
          <w:rFonts w:ascii="Cambria" w:hAnsi="Cambria" w:cstheme="majorHAnsi"/>
          <w:szCs w:val="24"/>
        </w:rPr>
        <w:instrText xml:space="preserve"> HYPERLINK "mailto:licitacao@miraima.ce.gov.br" </w:instrText>
      </w:r>
      <w:r>
        <w:rPr>
          <w:rFonts w:ascii="Cambria" w:hAnsi="Cambria" w:cstheme="majorHAnsi"/>
          <w:szCs w:val="24"/>
        </w:rPr>
        <w:fldChar w:fldCharType="separate"/>
      </w:r>
      <w:r>
        <w:rPr>
          <w:rStyle w:val="Hyperlink"/>
          <w:rFonts w:ascii="Cambria" w:hAnsi="Cambria" w:cstheme="majorHAnsi"/>
          <w:szCs w:val="24"/>
        </w:rPr>
        <w:t>licitacao@miraima.ce.gov.br</w:t>
      </w:r>
      <w:r>
        <w:rPr>
          <w:rFonts w:ascii="Cambria" w:hAnsi="Cambria" w:cstheme="majorHAnsi"/>
          <w:szCs w:val="24"/>
        </w:rPr>
        <w:fldChar w:fldCharType="end"/>
      </w:r>
      <w:r>
        <w:rPr>
          <w:rFonts w:ascii="Cambria" w:hAnsi="Cambria" w:cstheme="majorHAnsi"/>
          <w:sz w:val="24"/>
          <w:szCs w:val="24"/>
        </w:rPr>
        <w:t xml:space="preserve">. ANTONIA MARIA ALVES PINHEIRO PINTO, Secretaria de Saúde. Prefeitura Municipal de Miraíma, 16 de junho de 2026. </w:t>
      </w:r>
    </w:p>
    <w:p>
      <w:pPr>
        <w:jc w:val="both"/>
        <w:rPr>
          <w:rFonts w:ascii="Cambria" w:hAnsi="Cambria" w:cstheme="majorHAnsi"/>
          <w:sz w:val="24"/>
          <w:szCs w:val="24"/>
        </w:rPr>
      </w:pPr>
      <w:r>
        <w:rPr>
          <w:rFonts w:ascii="Cambria" w:hAnsi="Cambria" w:cstheme="majorHAnsi"/>
          <w:sz w:val="24"/>
          <w:szCs w:val="24"/>
        </w:rPr>
        <w:t xml:space="preserve"> </w:t>
      </w:r>
    </w:p>
    <w:p>
      <w:pPr>
        <w:jc w:val="both"/>
        <w:rPr>
          <w:rFonts w:ascii="Cambria" w:hAnsi="Cambria" w:cstheme="majorHAnsi"/>
          <w:sz w:val="24"/>
          <w:szCs w:val="24"/>
        </w:rPr>
      </w:pPr>
    </w:p>
    <w:p>
      <w:pPr>
        <w:tabs>
          <w:tab w:val="center" w:pos="4252"/>
          <w:tab w:val="right" w:pos="8504"/>
        </w:tabs>
        <w:jc w:val="center"/>
        <w:rPr>
          <w:rFonts w:ascii="Cambria" w:hAnsi="Cambria" w:cstheme="majorHAnsi"/>
          <w:b/>
          <w:bCs/>
          <w:sz w:val="24"/>
          <w:szCs w:val="24"/>
        </w:rPr>
      </w:pPr>
      <w:r>
        <w:rPr>
          <w:rFonts w:ascii="Cambria" w:hAnsi="Cambria" w:cstheme="majorHAnsi"/>
          <w:b/>
          <w:bCs/>
          <w:sz w:val="24"/>
          <w:szCs w:val="24"/>
        </w:rPr>
        <w:t>ANTÔNIO ROBSON ALVES DOS SANTOS</w:t>
      </w:r>
    </w:p>
    <w:p>
      <w:pPr>
        <w:tabs>
          <w:tab w:val="center" w:pos="4252"/>
          <w:tab w:val="right" w:pos="8504"/>
        </w:tabs>
        <w:jc w:val="center"/>
        <w:rPr>
          <w:rFonts w:ascii="Cambria" w:hAnsi="Cambria" w:cstheme="majorHAnsi"/>
          <w:sz w:val="24"/>
          <w:szCs w:val="24"/>
        </w:rPr>
      </w:pPr>
      <w:r>
        <w:rPr>
          <w:rFonts w:ascii="Cambria" w:hAnsi="Cambria" w:cstheme="majorHAnsi"/>
          <w:sz w:val="24"/>
          <w:szCs w:val="24"/>
        </w:rPr>
        <w:t>Agente de Contratação da Prefeitura Municipal de Miraíma/CE</w:t>
      </w:r>
    </w:p>
    <w:p>
      <w:pPr>
        <w:rPr>
          <w:rFonts w:ascii="Cambria" w:hAnsi="Cambria" w:cstheme="minorHAnsi"/>
          <w:b/>
          <w:sz w:val="24"/>
          <w:szCs w:val="24"/>
          <w:lang w:eastAsia="ar-SA"/>
        </w:rPr>
      </w:pPr>
    </w:p>
    <w:sectPr>
      <w:pgSz w:w="11907" w:h="16840" w:code="9"/>
      <w:pgMar w:top="2410" w:right="1080" w:bottom="1560" w:left="108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Rounded MT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ahoma-Bold">
    <w:charset w:val="00"/>
    <w:family w:val="swiss"/>
    <w:pitch w:val="default"/>
  </w:font>
  <w:font w:name="Verdana">
    <w:panose1 w:val="020B0604030504040204"/>
    <w:charset w:val="00"/>
    <w:family w:val="swiss"/>
    <w:pitch w:val="variable"/>
    <w:sig w:usb0="A00006FF" w:usb1="4000205B" w:usb2="00000010" w:usb3="00000000" w:csb0="0000019F" w:csb1="00000000"/>
  </w:font>
  <w:font w:name="Verdana-Bold">
    <w:altName w:val="Arial"/>
    <w:charset w:val="00"/>
    <w:family w:val="swiss"/>
    <w:pitch w:val="default"/>
  </w:font>
  <w:font w:name="Tms Rmn">
    <w:panose1 w:val="02020603040505020304"/>
    <w:charset w:val="00"/>
    <w:family w:val="roman"/>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Times New Roman"/>
    <w:charset w:val="00"/>
    <w:family w:val="roman"/>
    <w:pitch w:val="default"/>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2055227097"/>
      <w:docPartObj>
        <w:docPartGallery w:val="Page Numbers (Top of Page)"/>
        <w:docPartUnique/>
      </w:docPartObj>
    </w:sdtPr>
    <w:sdtContent>
      <w:p>
        <w:pPr>
          <w:pStyle w:val="Rodap"/>
          <w:jc w:val="center"/>
        </w:pPr>
        <w:r>
          <w:rPr>
            <w:noProof/>
            <w:sz w:val="18"/>
            <w:lang w:eastAsia="pt-BR"/>
          </w:rPr>
          <w:drawing>
            <wp:anchor distT="0" distB="0" distL="114300" distR="114300" simplePos="0" relativeHeight="251661312"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8" name="Imagem 8"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62336"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9" name="Imagem 9"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63360" behindDoc="1" locked="0" layoutInCell="1" allowOverlap="1">
              <wp:simplePos x="0" y="0"/>
              <wp:positionH relativeFrom="column">
                <wp:posOffset>4528185</wp:posOffset>
              </wp:positionH>
              <wp:positionV relativeFrom="paragraph">
                <wp:posOffset>7840980</wp:posOffset>
              </wp:positionV>
              <wp:extent cx="2286000" cy="1447165"/>
              <wp:effectExtent l="0" t="0" r="0" b="635"/>
              <wp:wrapNone/>
              <wp:docPr id="10" name="Imagem 10"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t>Esplanada da Estação, 433 – Centro – Miraíma – CE</w:t>
        </w:r>
      </w:p>
      <w:p>
        <w:pPr>
          <w:pStyle w:val="Rodap"/>
          <w:jc w:val="center"/>
        </w:pPr>
        <w:r>
          <w:t xml:space="preserve">Telefone: 88 36301167 – E-mail: </w:t>
        </w:r>
        <w:hyperlink r:id="rId3" w:history="1">
          <w:r>
            <w:rPr>
              <w:rStyle w:val="Hyperlink"/>
            </w:rPr>
            <w:t>gabinete@miraima.ce.gov.br</w:t>
          </w:r>
        </w:hyperlink>
        <w:r>
          <w:t xml:space="preserve"> </w:t>
        </w:r>
      </w:p>
      <w:p>
        <w:pPr>
          <w:pStyle w:val="Rodap"/>
          <w:jc w:val="center"/>
          <w:rPr>
            <w:b/>
            <w:bCs/>
          </w:rPr>
        </w:pPr>
        <w:r>
          <w:rPr>
            <w:b/>
          </w:rPr>
          <w:t>CNPJ/MF</w:t>
        </w:r>
        <w:r>
          <w:t xml:space="preserve"> nº 10.517.563/0001-05 - </w:t>
        </w:r>
        <w:r>
          <w:rPr>
            <w:b/>
          </w:rPr>
          <w:t>CGF nº</w:t>
        </w:r>
        <w:r>
          <w:t xml:space="preserve"> 06.920.294-0</w:t>
        </w:r>
        <w:r>
          <w:rPr>
            <w:noProof/>
            <w:sz w:val="18"/>
            <w:lang w:eastAsia="pt-BR"/>
          </w:rPr>
          <w:drawing>
            <wp:anchor distT="0" distB="0" distL="114300" distR="114300" simplePos="0" relativeHeight="251660288"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eastAsia="pt-BR"/>
          </w:rPr>
          <w:drawing>
            <wp:anchor distT="0" distB="0" distL="114300" distR="114300" simplePos="0" relativeHeight="251659264"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pPr>
      <w:pStyle w:val="Rodap"/>
    </w:pPr>
    <w:r>
      <w:rPr>
        <w:noProof/>
        <w:lang w:eastAsia="pt-BR"/>
      </w:rPr>
      <w:drawing>
        <wp:anchor distT="0" distB="0" distL="114300" distR="114300" simplePos="0" relativeHeight="251655680"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85252150"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4656" behindDoc="1" locked="0" layoutInCell="1" allowOverlap="1">
          <wp:simplePos x="0" y="0"/>
          <wp:positionH relativeFrom="column">
            <wp:posOffset>900430</wp:posOffset>
          </wp:positionH>
          <wp:positionV relativeFrom="paragraph">
            <wp:posOffset>9719310</wp:posOffset>
          </wp:positionV>
          <wp:extent cx="6179820" cy="748665"/>
          <wp:effectExtent l="0" t="0" r="0" b="0"/>
          <wp:wrapNone/>
          <wp:docPr id="1988890386" name="Image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pPr>
    <w:r>
      <w:rPr>
        <w:noProof/>
        <w:lang w:eastAsia="pt-BR"/>
      </w:rPr>
      <w:drawing>
        <wp:anchor distT="0" distB="0" distL="114300" distR="114300" simplePos="0" relativeHeight="251664384" behindDoc="0" locked="0" layoutInCell="1" allowOverlap="1">
          <wp:simplePos x="0" y="0"/>
          <wp:positionH relativeFrom="column">
            <wp:posOffset>-491490</wp:posOffset>
          </wp:positionH>
          <wp:positionV relativeFrom="paragraph">
            <wp:posOffset>-210820</wp:posOffset>
          </wp:positionV>
          <wp:extent cx="7304046" cy="1348105"/>
          <wp:effectExtent l="0" t="0" r="0" b="4445"/>
          <wp:wrapSquare wrapText="bothSides"/>
          <wp:docPr id="10140058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62280" name=""/>
                  <pic:cNvPicPr/>
                </pic:nvPicPr>
                <pic:blipFill>
                  <a:blip r:embed="rId1">
                    <a:extLst>
                      <a:ext uri="{28A0092B-C50C-407E-A947-70E740481C1C}">
                        <a14:useLocalDpi xmlns:a14="http://schemas.microsoft.com/office/drawing/2010/main" val="0"/>
                      </a:ext>
                    </a:extLst>
                  </a:blip>
                  <a:stretch>
                    <a:fillRect/>
                  </a:stretch>
                </pic:blipFill>
                <pic:spPr>
                  <a:xfrm>
                    <a:off x="0" y="0"/>
                    <a:ext cx="7304046" cy="13481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37E30"/>
    <w:multiLevelType w:val="multilevel"/>
    <w:tmpl w:val="762E4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upperRoman"/>
      <w:lvlText w:val="%3."/>
      <w:lvlJc w:val="right"/>
      <w:pPr>
        <w:ind w:left="1080" w:hanging="720"/>
      </w:pPr>
      <w:rPr>
        <w:rFonts w:hint="default"/>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30F054B"/>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31D1FEC"/>
    <w:multiLevelType w:val="hybridMultilevel"/>
    <w:tmpl w:val="5F8E3DE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D9371ED"/>
    <w:multiLevelType w:val="multilevel"/>
    <w:tmpl w:val="677A19C4"/>
    <w:lvl w:ilvl="0">
      <w:start w:val="2"/>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13" w:hanging="720"/>
      </w:pPr>
      <w:rPr>
        <w:rFonts w:hint="default"/>
        <w:b w:val="0"/>
        <w:bCs/>
      </w:rPr>
    </w:lvl>
    <w:lvl w:ilvl="3">
      <w:start w:val="1"/>
      <w:numFmt w:val="decimal"/>
      <w:lvlText w:val="%1.%2.%3.%4."/>
      <w:lvlJc w:val="left"/>
      <w:pPr>
        <w:ind w:left="1428" w:hanging="720"/>
      </w:pPr>
      <w:rPr>
        <w:rFonts w:hint="default"/>
        <w:b w:val="0"/>
        <w:bCs/>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4">
    <w:nsid w:val="18E54304"/>
    <w:multiLevelType w:val="multilevel"/>
    <w:tmpl w:val="246C9A56"/>
    <w:lvl w:ilvl="0">
      <w:start w:val="1"/>
      <w:numFmt w:val="lowerLetter"/>
      <w:lvlText w:val="%1."/>
      <w:lvlJc w:val="left"/>
      <w:pPr>
        <w:ind w:left="360" w:hanging="360"/>
      </w:pPr>
      <w:rPr>
        <w:b/>
        <w:bCs w:val="0"/>
      </w:rPr>
    </w:lvl>
    <w:lvl w:ilvl="1">
      <w:start w:val="1"/>
      <w:numFmt w:val="decimal"/>
      <w:lvlText w:val="%1.%2."/>
      <w:lvlJc w:val="left"/>
      <w:pPr>
        <w:ind w:left="862"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5">
    <w:nsid w:val="19D5391A"/>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003718"/>
    <w:multiLevelType w:val="multilevel"/>
    <w:tmpl w:val="BF7206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bCs w:val="0"/>
        <w:sz w:val="22"/>
        <w:szCs w:val="18"/>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B3E618E"/>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D33069"/>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F7E4B0B"/>
    <w:multiLevelType w:val="multilevel"/>
    <w:tmpl w:val="3FE0ED2C"/>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825959"/>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136FE5"/>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2A26944"/>
    <w:multiLevelType w:val="hybridMultilevel"/>
    <w:tmpl w:val="F15E2ED6"/>
    <w:lvl w:ilvl="0" w:tplc="513E10CA">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3B04421"/>
    <w:multiLevelType w:val="multilevel"/>
    <w:tmpl w:val="4B94E500"/>
    <w:lvl w:ilvl="0">
      <w:start w:val="1"/>
      <w:numFmt w:val="decimal"/>
      <w:lvlText w:val="%1."/>
      <w:lvlJc w:val="left"/>
      <w:pPr>
        <w:ind w:left="720" w:hanging="360"/>
      </w:pPr>
      <w:rPr>
        <w:b/>
        <w:bCs/>
      </w:rPr>
    </w:lvl>
    <w:lvl w:ilvl="1">
      <w:start w:val="2"/>
      <w:numFmt w:val="decimal"/>
      <w:pStyle w:val="Nvel2-Red"/>
      <w:isLgl/>
      <w:lvlText w:val="%1.%2."/>
      <w:lvlJc w:val="left"/>
      <w:pPr>
        <w:ind w:left="435" w:hanging="435"/>
      </w:pPr>
      <w:rPr>
        <w:rFonts w:hint="default"/>
      </w:rPr>
    </w:lvl>
    <w:lvl w:ilvl="2">
      <w:start w:val="1"/>
      <w:numFmt w:val="decimal"/>
      <w:pStyle w:val="Nvel3-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6497BB4"/>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6EF5A39"/>
    <w:multiLevelType w:val="multilevel"/>
    <w:tmpl w:val="B7E6737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282E35EA"/>
    <w:multiLevelType w:val="hybridMultilevel"/>
    <w:tmpl w:val="084483E4"/>
    <w:lvl w:ilvl="0" w:tplc="04160017">
      <w:start w:val="1"/>
      <w:numFmt w:val="lowerLetter"/>
      <w:lvlText w:val="%1)"/>
      <w:lvlJc w:val="left"/>
      <w:pPr>
        <w:ind w:left="1440" w:hanging="360"/>
      </w:pPr>
    </w:lvl>
    <w:lvl w:ilvl="1" w:tplc="04160017">
      <w:start w:val="1"/>
      <w:numFmt w:val="lowerLetter"/>
      <w:lvlText w:val="%2)"/>
      <w:lvlJc w:val="left"/>
      <w:pPr>
        <w:ind w:left="2160" w:hanging="360"/>
      </w:pPr>
      <w:rPr>
        <w:b/>
        <w:bCs w:val="0"/>
      </w:r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nsid w:val="29EF760F"/>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AFF2AAE"/>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F701031"/>
    <w:multiLevelType w:val="multilevel"/>
    <w:tmpl w:val="0E66BA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sz w:val="22"/>
        <w:szCs w:val="18"/>
      </w:rPr>
    </w:lvl>
    <w:lvl w:ilvl="3">
      <w:start w:val="1"/>
      <w:numFmt w:val="lowerLetter"/>
      <w:lvlText w:val="%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34740B9B"/>
    <w:multiLevelType w:val="multilevel"/>
    <w:tmpl w:val="762E4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upperRoman"/>
      <w:lvlText w:val="%3."/>
      <w:lvlJc w:val="right"/>
      <w:pPr>
        <w:ind w:left="1080" w:hanging="720"/>
      </w:pPr>
      <w:rPr>
        <w:rFonts w:hint="default"/>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78C417C"/>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3CB06982"/>
    <w:multiLevelType w:val="multilevel"/>
    <w:tmpl w:val="01DCB9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418A1457"/>
    <w:multiLevelType w:val="hybridMultilevel"/>
    <w:tmpl w:val="EB188926"/>
    <w:lvl w:ilvl="0" w:tplc="ADE4A646">
      <w:start w:val="1"/>
      <w:numFmt w:val="bullet"/>
      <w:pStyle w:val="NormalCourierNew"/>
      <w:lvlText w:val=""/>
      <w:lvlJc w:val="left"/>
      <w:pPr>
        <w:ind w:left="900" w:hanging="360"/>
      </w:pPr>
      <w:rPr>
        <w:rFonts w:ascii="Symbol" w:hAnsi="Symbol" w:hint="default"/>
      </w:rPr>
    </w:lvl>
    <w:lvl w:ilvl="1" w:tplc="04160001">
      <w:start w:val="1"/>
      <w:numFmt w:val="bullet"/>
      <w:lvlText w:val=""/>
      <w:lvlJc w:val="left"/>
      <w:pPr>
        <w:tabs>
          <w:tab w:val="num" w:pos="1620"/>
        </w:tabs>
        <w:ind w:left="1620" w:hanging="360"/>
      </w:pPr>
      <w:rPr>
        <w:rFonts w:ascii="Symbol" w:hAnsi="Symbol" w:hint="default"/>
      </w:rPr>
    </w:lvl>
    <w:lvl w:ilvl="2" w:tplc="04160005">
      <w:start w:val="1"/>
      <w:numFmt w:val="bullet"/>
      <w:lvlText w:val=""/>
      <w:lvlJc w:val="left"/>
      <w:pPr>
        <w:ind w:left="2340" w:hanging="360"/>
      </w:pPr>
      <w:rPr>
        <w:rFonts w:ascii="Wingdings" w:hAnsi="Wingdings" w:hint="default"/>
      </w:rPr>
    </w:lvl>
    <w:lvl w:ilvl="3" w:tplc="04160001">
      <w:start w:val="1"/>
      <w:numFmt w:val="bullet"/>
      <w:lvlText w:val=""/>
      <w:lvlJc w:val="left"/>
      <w:pPr>
        <w:ind w:left="3060" w:hanging="360"/>
      </w:pPr>
      <w:rPr>
        <w:rFonts w:ascii="Symbol" w:hAnsi="Symbol" w:hint="default"/>
      </w:rPr>
    </w:lvl>
    <w:lvl w:ilvl="4" w:tplc="04160003">
      <w:start w:val="1"/>
      <w:numFmt w:val="bullet"/>
      <w:lvlText w:val="o"/>
      <w:lvlJc w:val="left"/>
      <w:pPr>
        <w:ind w:left="3780" w:hanging="360"/>
      </w:pPr>
      <w:rPr>
        <w:rFonts w:ascii="Courier New" w:hAnsi="Courier New" w:cs="Courier New" w:hint="default"/>
      </w:rPr>
    </w:lvl>
    <w:lvl w:ilvl="5" w:tplc="04160005">
      <w:start w:val="1"/>
      <w:numFmt w:val="bullet"/>
      <w:lvlText w:val=""/>
      <w:lvlJc w:val="left"/>
      <w:pPr>
        <w:ind w:left="4500" w:hanging="360"/>
      </w:pPr>
      <w:rPr>
        <w:rFonts w:ascii="Wingdings" w:hAnsi="Wingdings" w:hint="default"/>
      </w:rPr>
    </w:lvl>
    <w:lvl w:ilvl="6" w:tplc="04160001">
      <w:start w:val="1"/>
      <w:numFmt w:val="bullet"/>
      <w:lvlText w:val=""/>
      <w:lvlJc w:val="left"/>
      <w:pPr>
        <w:ind w:left="5220" w:hanging="360"/>
      </w:pPr>
      <w:rPr>
        <w:rFonts w:ascii="Symbol" w:hAnsi="Symbol" w:hint="default"/>
      </w:rPr>
    </w:lvl>
    <w:lvl w:ilvl="7" w:tplc="04160003">
      <w:start w:val="1"/>
      <w:numFmt w:val="bullet"/>
      <w:lvlText w:val="o"/>
      <w:lvlJc w:val="left"/>
      <w:pPr>
        <w:ind w:left="5940" w:hanging="360"/>
      </w:pPr>
      <w:rPr>
        <w:rFonts w:ascii="Courier New" w:hAnsi="Courier New" w:cs="Courier New" w:hint="default"/>
      </w:rPr>
    </w:lvl>
    <w:lvl w:ilvl="8" w:tplc="04160005">
      <w:start w:val="1"/>
      <w:numFmt w:val="bullet"/>
      <w:lvlText w:val=""/>
      <w:lvlJc w:val="left"/>
      <w:pPr>
        <w:ind w:left="6660" w:hanging="360"/>
      </w:pPr>
      <w:rPr>
        <w:rFonts w:ascii="Wingdings" w:hAnsi="Wingdings" w:hint="default"/>
      </w:rPr>
    </w:lvl>
  </w:abstractNum>
  <w:abstractNum w:abstractNumId="24">
    <w:nsid w:val="427D73CE"/>
    <w:multiLevelType w:val="multilevel"/>
    <w:tmpl w:val="6F9AC196"/>
    <w:lvl w:ilvl="0">
      <w:start w:val="1"/>
      <w:numFmt w:val="decimal"/>
      <w:pStyle w:val="Ttulo1"/>
      <w:lvlText w:val="%1."/>
      <w:lvlJc w:val="left"/>
      <w:pPr>
        <w:ind w:left="720" w:hanging="360"/>
      </w:pPr>
      <w:rPr>
        <w:rFonts w:hint="default"/>
      </w:rPr>
    </w:lvl>
    <w:lvl w:ilvl="1">
      <w:start w:val="1"/>
      <w:numFmt w:val="decimal"/>
      <w:isLgl/>
      <w:lvlText w:val="%1.%2."/>
      <w:lvlJc w:val="left"/>
      <w:pPr>
        <w:ind w:left="1430" w:hanging="720"/>
      </w:pPr>
      <w:rPr>
        <w:rFonts w:hint="default"/>
        <w:sz w:val="24"/>
        <w:szCs w:val="22"/>
      </w:rPr>
    </w:lvl>
    <w:lvl w:ilvl="2">
      <w:start w:val="1"/>
      <w:numFmt w:val="decimal"/>
      <w:isLgl/>
      <w:lvlText w:val="%1.%2.%3."/>
      <w:lvlJc w:val="left"/>
      <w:pPr>
        <w:ind w:left="1855" w:hanging="720"/>
      </w:pPr>
      <w:rPr>
        <w:rFonts w:hint="default"/>
        <w:b w:val="0"/>
        <w:bCs w:val="0"/>
        <w:sz w:val="24"/>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4961628D"/>
    <w:multiLevelType w:val="hybridMultilevel"/>
    <w:tmpl w:val="92041778"/>
    <w:lvl w:ilvl="0" w:tplc="D7BCE01E">
      <w:start w:val="1"/>
      <w:numFmt w:val="upperRoman"/>
      <w:lvlText w:val="%1."/>
      <w:lvlJc w:val="right"/>
      <w:pPr>
        <w:ind w:left="720" w:hanging="360"/>
      </w:pPr>
      <w:rPr>
        <w:rFonts w:hint="default"/>
        <w:b w:val="0"/>
      </w:rPr>
    </w:lvl>
    <w:lvl w:ilvl="1" w:tplc="08DE997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C482B59"/>
    <w:multiLevelType w:val="multilevel"/>
    <w:tmpl w:val="63A4EC7A"/>
    <w:lvl w:ilvl="0">
      <w:start w:val="6"/>
      <w:numFmt w:val="decimal"/>
      <w:lvlText w:val="%1."/>
      <w:lvlJc w:val="left"/>
      <w:pPr>
        <w:ind w:left="540" w:hanging="540"/>
      </w:pPr>
      <w:rPr>
        <w:rFonts w:hint="default"/>
      </w:rPr>
    </w:lvl>
    <w:lvl w:ilvl="1">
      <w:start w:val="1"/>
      <w:numFmt w:val="decimal"/>
      <w:lvlText w:val="%1.%2."/>
      <w:lvlJc w:val="left"/>
      <w:pPr>
        <w:ind w:left="1248" w:hanging="5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Zero"/>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CBD39A9"/>
    <w:multiLevelType w:val="multilevel"/>
    <w:tmpl w:val="E822F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080"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50743529"/>
    <w:multiLevelType w:val="hybridMultilevel"/>
    <w:tmpl w:val="0E82CE78"/>
    <w:lvl w:ilvl="0" w:tplc="76F63F5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3176CA0"/>
    <w:multiLevelType w:val="multilevel"/>
    <w:tmpl w:val="E82691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bCs w:val="0"/>
        <w:sz w:val="22"/>
        <w:szCs w:val="18"/>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54811C7E"/>
    <w:multiLevelType w:val="multilevel"/>
    <w:tmpl w:val="E822F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080"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56D45986"/>
    <w:multiLevelType w:val="hybridMultilevel"/>
    <w:tmpl w:val="85987A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EC45CE"/>
    <w:multiLevelType w:val="multilevel"/>
    <w:tmpl w:val="7C9CDBA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5B213F9A"/>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B7B5377"/>
    <w:multiLevelType w:val="multilevel"/>
    <w:tmpl w:val="A6DA81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52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03059C5"/>
    <w:multiLevelType w:val="multilevel"/>
    <w:tmpl w:val="59E889B8"/>
    <w:lvl w:ilvl="0">
      <w:start w:val="5"/>
      <w:numFmt w:val="decimal"/>
      <w:lvlText w:val="%1."/>
      <w:lvlJc w:val="left"/>
      <w:pPr>
        <w:ind w:left="644" w:hanging="360"/>
      </w:pPr>
      <w:rPr>
        <w:rFonts w:hint="default"/>
      </w:rPr>
    </w:lvl>
    <w:lvl w:ilvl="1">
      <w:start w:val="1"/>
      <w:numFmt w:val="decimal"/>
      <w:lvlText w:val="%1.%2."/>
      <w:lvlJc w:val="left"/>
      <w:pPr>
        <w:ind w:left="1712" w:hanging="720"/>
      </w:pPr>
      <w:rPr>
        <w:rFonts w:hint="default"/>
      </w:rPr>
    </w:lvl>
    <w:lvl w:ilvl="2">
      <w:start w:val="1"/>
      <w:numFmt w:val="decimalZero"/>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Zero"/>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36">
    <w:nsid w:val="60D10458"/>
    <w:multiLevelType w:val="multilevel"/>
    <w:tmpl w:val="5AB670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620A74B8"/>
    <w:multiLevelType w:val="hybridMultilevel"/>
    <w:tmpl w:val="E32EE11C"/>
    <w:lvl w:ilvl="0" w:tplc="7B6A105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33700DF"/>
    <w:multiLevelType w:val="hybridMultilevel"/>
    <w:tmpl w:val="B9A8FDD8"/>
    <w:lvl w:ilvl="0" w:tplc="0416000D">
      <w:start w:val="1"/>
      <w:numFmt w:val="bullet"/>
      <w:lvlText w:val=""/>
      <w:lvlJc w:val="left"/>
      <w:pPr>
        <w:tabs>
          <w:tab w:val="num" w:pos="720"/>
        </w:tabs>
        <w:ind w:left="720" w:hanging="360"/>
      </w:pPr>
      <w:rPr>
        <w:rFonts w:ascii="Wingdings" w:hAnsi="Wingdings" w:hint="default"/>
      </w:rPr>
    </w:lvl>
    <w:lvl w:ilvl="1" w:tplc="0EE232B6">
      <w:start w:val="1"/>
      <w:numFmt w:val="bullet"/>
      <w:pStyle w:val="Recuodecorpodetexto1"/>
      <w:lvlText w:val=""/>
      <w:lvlJc w:val="left"/>
      <w:pPr>
        <w:tabs>
          <w:tab w:val="num" w:pos="1440"/>
        </w:tabs>
        <w:ind w:left="1440" w:hanging="360"/>
      </w:pPr>
      <w:rPr>
        <w:rFonts w:ascii="Wingdings" w:hAnsi="Wingdings"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39">
    <w:nsid w:val="63F046E8"/>
    <w:multiLevelType w:val="multilevel"/>
    <w:tmpl w:val="01DCB9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lowerLetter"/>
      <w:lvlText w:val="%3)"/>
      <w:lvlJc w:val="left"/>
      <w:pPr>
        <w:ind w:left="1855" w:hanging="720"/>
      </w:pPr>
      <w:rPr>
        <w:rFonts w:hint="default"/>
        <w:b/>
        <w:bCs/>
        <w:sz w:val="22"/>
        <w:szCs w:val="1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6DB57BE0"/>
    <w:multiLevelType w:val="hybridMultilevel"/>
    <w:tmpl w:val="11706756"/>
    <w:lvl w:ilvl="0" w:tplc="E24AD774">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E1E46DE"/>
    <w:multiLevelType w:val="hybridMultilevel"/>
    <w:tmpl w:val="5ECE951A"/>
    <w:lvl w:ilvl="0" w:tplc="04160017">
      <w:start w:val="1"/>
      <w:numFmt w:val="lowerLetter"/>
      <w:lvlText w:val="%1)"/>
      <w:lvlJc w:val="left"/>
      <w:pPr>
        <w:ind w:left="720" w:hanging="360"/>
      </w:pPr>
    </w:lvl>
    <w:lvl w:ilvl="1" w:tplc="7B04CAEE">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4CF7CC1"/>
    <w:multiLevelType w:val="hybridMultilevel"/>
    <w:tmpl w:val="2CA8799A"/>
    <w:lvl w:ilvl="0" w:tplc="04160017">
      <w:start w:val="1"/>
      <w:numFmt w:val="lowerLetter"/>
      <w:lvlText w:val="%1)"/>
      <w:lvlJc w:val="left"/>
      <w:pPr>
        <w:ind w:left="720" w:hanging="360"/>
      </w:pPr>
    </w:lvl>
    <w:lvl w:ilvl="1" w:tplc="A8C8883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65C0306"/>
    <w:multiLevelType w:val="hybridMultilevel"/>
    <w:tmpl w:val="52FE4AF6"/>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4">
    <w:nsid w:val="770F4F9F"/>
    <w:multiLevelType w:val="hybridMultilevel"/>
    <w:tmpl w:val="146495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7D3396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6">
    <w:nsid w:val="7BD01C60"/>
    <w:multiLevelType w:val="hybridMultilevel"/>
    <w:tmpl w:val="B07AD0C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E317D47"/>
    <w:multiLevelType w:val="multilevel"/>
    <w:tmpl w:val="D6ECB66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EB95957"/>
    <w:multiLevelType w:val="multilevel"/>
    <w:tmpl w:val="328A3BAE"/>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F8604BE"/>
    <w:multiLevelType w:val="multilevel"/>
    <w:tmpl w:val="326CC30A"/>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23"/>
  </w:num>
  <w:num w:numId="3">
    <w:abstractNumId w:val="32"/>
  </w:num>
  <w:num w:numId="4">
    <w:abstractNumId w:val="46"/>
  </w:num>
  <w:num w:numId="5">
    <w:abstractNumId w:val="24"/>
  </w:num>
  <w:num w:numId="6">
    <w:abstractNumId w:val="47"/>
  </w:num>
  <w:num w:numId="7">
    <w:abstractNumId w:val="44"/>
  </w:num>
  <w:num w:numId="8">
    <w:abstractNumId w:val="30"/>
  </w:num>
  <w:num w:numId="9">
    <w:abstractNumId w:val="27"/>
  </w:num>
  <w:num w:numId="10">
    <w:abstractNumId w:val="19"/>
  </w:num>
  <w:num w:numId="11">
    <w:abstractNumId w:val="12"/>
  </w:num>
  <w:num w:numId="12">
    <w:abstractNumId w:val="0"/>
  </w:num>
  <w:num w:numId="13">
    <w:abstractNumId w:val="20"/>
  </w:num>
  <w:num w:numId="14">
    <w:abstractNumId w:val="28"/>
  </w:num>
  <w:num w:numId="15">
    <w:abstractNumId w:val="41"/>
  </w:num>
  <w:num w:numId="16">
    <w:abstractNumId w:val="29"/>
  </w:num>
  <w:num w:numId="17">
    <w:abstractNumId w:val="6"/>
  </w:num>
  <w:num w:numId="18">
    <w:abstractNumId w:val="21"/>
  </w:num>
  <w:num w:numId="19">
    <w:abstractNumId w:val="1"/>
  </w:num>
  <w:num w:numId="20">
    <w:abstractNumId w:val="36"/>
  </w:num>
  <w:num w:numId="21">
    <w:abstractNumId w:val="11"/>
  </w:num>
  <w:num w:numId="22">
    <w:abstractNumId w:val="14"/>
  </w:num>
  <w:num w:numId="23">
    <w:abstractNumId w:val="8"/>
  </w:num>
  <w:num w:numId="24">
    <w:abstractNumId w:val="22"/>
  </w:num>
  <w:num w:numId="25">
    <w:abstractNumId w:val="39"/>
  </w:num>
  <w:num w:numId="26">
    <w:abstractNumId w:val="15"/>
  </w:num>
  <w:num w:numId="27">
    <w:abstractNumId w:val="7"/>
  </w:num>
  <w:num w:numId="28">
    <w:abstractNumId w:val="10"/>
  </w:num>
  <w:num w:numId="29">
    <w:abstractNumId w:val="37"/>
  </w:num>
  <w:num w:numId="30">
    <w:abstractNumId w:val="45"/>
  </w:num>
  <w:num w:numId="31">
    <w:abstractNumId w:val="40"/>
  </w:num>
  <w:num w:numId="32">
    <w:abstractNumId w:val="3"/>
  </w:num>
  <w:num w:numId="33">
    <w:abstractNumId w:val="16"/>
  </w:num>
  <w:num w:numId="34">
    <w:abstractNumId w:val="33"/>
  </w:num>
  <w:num w:numId="35">
    <w:abstractNumId w:val="34"/>
  </w:num>
  <w:num w:numId="36">
    <w:abstractNumId w:val="17"/>
  </w:num>
  <w:num w:numId="37">
    <w:abstractNumId w:val="18"/>
  </w:num>
  <w:num w:numId="38">
    <w:abstractNumId w:val="31"/>
  </w:num>
  <w:num w:numId="39">
    <w:abstractNumId w:val="5"/>
  </w:num>
  <w:num w:numId="40">
    <w:abstractNumId w:val="25"/>
  </w:num>
  <w:num w:numId="41">
    <w:abstractNumId w:val="13"/>
  </w:num>
  <w:num w:numId="42">
    <w:abstractNumId w:val="42"/>
  </w:num>
  <w:num w:numId="43">
    <w:abstractNumId w:val="43"/>
  </w:num>
  <w:num w:numId="44">
    <w:abstractNumId w:val="35"/>
  </w:num>
  <w:num w:numId="45">
    <w:abstractNumId w:val="26"/>
  </w:num>
  <w:num w:numId="46">
    <w:abstractNumId w:val="48"/>
  </w:num>
  <w:num w:numId="47">
    <w:abstractNumId w:val="49"/>
  </w:num>
  <w:num w:numId="48">
    <w:abstractNumId w:val="9"/>
  </w:num>
  <w:num w:numId="49">
    <w:abstractNumId w:val="4"/>
  </w:num>
  <w:num w:numId="50">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72E51B-2EB9-4CFC-BE83-99EB528F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paragraph" w:styleId="Ttulo1">
    <w:name w:val="heading 1"/>
    <w:basedOn w:val="PargrafodaLista"/>
    <w:next w:val="Normal"/>
    <w:link w:val="Ttulo1Char"/>
    <w:uiPriority w:val="9"/>
    <w:qFormat/>
    <w:pPr>
      <w:numPr>
        <w:numId w:val="5"/>
      </w:numPr>
      <w:tabs>
        <w:tab w:val="left" w:pos="284"/>
      </w:tabs>
      <w:jc w:val="both"/>
      <w:outlineLvl w:val="0"/>
    </w:pPr>
    <w:rPr>
      <w:rFonts w:ascii="Arial" w:hAnsi="Arial" w:cs="Arial"/>
      <w:b/>
      <w:bCs/>
      <w:sz w:val="22"/>
      <w:szCs w:val="22"/>
    </w:rPr>
  </w:style>
  <w:style w:type="paragraph" w:styleId="Ttulo2">
    <w:name w:val="heading 2"/>
    <w:basedOn w:val="Normal"/>
    <w:next w:val="Normal"/>
    <w:link w:val="Ttulo2Char"/>
    <w:qFormat/>
    <w:pPr>
      <w:keepNext/>
      <w:jc w:val="right"/>
      <w:outlineLvl w:val="1"/>
    </w:pPr>
    <w:rPr>
      <w:rFonts w:ascii="Times New Roman" w:eastAsia="Times New Roman" w:hAnsi="Times New Roman"/>
      <w:color w:val="000000"/>
      <w:sz w:val="24"/>
      <w:szCs w:val="20"/>
    </w:rPr>
  </w:style>
  <w:style w:type="paragraph" w:styleId="Ttulo3">
    <w:name w:val="heading 3"/>
    <w:basedOn w:val="Normal"/>
    <w:next w:val="Normal"/>
    <w:link w:val="Ttulo3Char"/>
    <w:qFormat/>
    <w:pPr>
      <w:keepNext/>
      <w:jc w:val="center"/>
      <w:outlineLvl w:val="2"/>
    </w:pPr>
    <w:rPr>
      <w:rFonts w:ascii="Arial Narrow" w:eastAsia="Times New Roman" w:hAnsi="Arial Narrow"/>
      <w:i/>
      <w:color w:val="000000"/>
      <w:sz w:val="38"/>
      <w:szCs w:val="20"/>
    </w:rPr>
  </w:style>
  <w:style w:type="paragraph" w:styleId="Ttulo4">
    <w:name w:val="heading 4"/>
    <w:basedOn w:val="Normal"/>
    <w:next w:val="Normal"/>
    <w:link w:val="Ttulo4Char"/>
    <w:qFormat/>
    <w:pPr>
      <w:keepNext/>
      <w:jc w:val="both"/>
      <w:outlineLvl w:val="3"/>
    </w:pPr>
    <w:rPr>
      <w:rFonts w:ascii="Times New Roman" w:eastAsia="Times New Roman" w:hAnsi="Times New Roman"/>
      <w:color w:val="000000"/>
      <w:sz w:val="24"/>
      <w:szCs w:val="20"/>
    </w:rPr>
  </w:style>
  <w:style w:type="paragraph" w:styleId="Ttulo5">
    <w:name w:val="heading 5"/>
    <w:basedOn w:val="Normal"/>
    <w:next w:val="Normal"/>
    <w:link w:val="Ttulo5Char"/>
    <w:qFormat/>
    <w:pPr>
      <w:keepNext/>
      <w:jc w:val="both"/>
      <w:outlineLvl w:val="4"/>
    </w:pPr>
    <w:rPr>
      <w:rFonts w:ascii="Times New Roman" w:eastAsia="Times New Roman" w:hAnsi="Times New Roman"/>
      <w:b/>
      <w:color w:val="000000"/>
      <w:sz w:val="24"/>
      <w:szCs w:val="20"/>
    </w:rPr>
  </w:style>
  <w:style w:type="paragraph" w:styleId="Ttulo6">
    <w:name w:val="heading 6"/>
    <w:basedOn w:val="Normal"/>
    <w:next w:val="Normal"/>
    <w:link w:val="Ttulo6Char"/>
    <w:qFormat/>
    <w:pPr>
      <w:keepNext/>
      <w:jc w:val="center"/>
      <w:outlineLvl w:val="5"/>
    </w:pPr>
    <w:rPr>
      <w:rFonts w:ascii="Arial Narrow" w:eastAsia="Times New Roman" w:hAnsi="Arial Narrow"/>
      <w:i/>
      <w:sz w:val="38"/>
      <w:szCs w:val="20"/>
    </w:rPr>
  </w:style>
  <w:style w:type="paragraph" w:styleId="Ttulo7">
    <w:name w:val="heading 7"/>
    <w:basedOn w:val="Normal"/>
    <w:next w:val="Normal"/>
    <w:link w:val="Ttulo7Char"/>
    <w:uiPriority w:val="9"/>
    <w:qFormat/>
    <w:pPr>
      <w:keepNext/>
      <w:jc w:val="center"/>
      <w:outlineLvl w:val="6"/>
    </w:pPr>
    <w:rPr>
      <w:rFonts w:ascii="Arial Rounded MT Bold" w:eastAsia="Times New Roman" w:hAnsi="Arial Rounded MT Bold"/>
      <w:b/>
      <w:sz w:val="28"/>
      <w:szCs w:val="20"/>
    </w:rPr>
  </w:style>
  <w:style w:type="paragraph" w:styleId="Ttulo8">
    <w:name w:val="heading 8"/>
    <w:basedOn w:val="Normal"/>
    <w:next w:val="Normal"/>
    <w:link w:val="Ttulo8Char"/>
    <w:uiPriority w:val="9"/>
    <w:qFormat/>
    <w:pPr>
      <w:keepNext/>
      <w:outlineLvl w:val="7"/>
    </w:pPr>
    <w:rPr>
      <w:rFonts w:ascii="Times New Roman" w:eastAsia="Times New Roman" w:hAnsi="Times New Roman"/>
      <w:sz w:val="24"/>
      <w:szCs w:val="20"/>
    </w:rPr>
  </w:style>
  <w:style w:type="paragraph" w:styleId="Ttulo9">
    <w:name w:val="heading 9"/>
    <w:basedOn w:val="Normal"/>
    <w:next w:val="Normal"/>
    <w:link w:val="Ttulo9Char"/>
    <w:uiPriority w:val="9"/>
    <w:qFormat/>
    <w:pPr>
      <w:keepNext/>
      <w:jc w:val="center"/>
      <w:outlineLvl w:val="8"/>
    </w:pPr>
    <w:rPr>
      <w:rFonts w:ascii="Times New Roman" w:eastAsia="Times New Roman" w:hAnsi="Times New Roman"/>
      <w:b/>
      <w:color w:val="000000"/>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Arial" w:eastAsia="Times New Roman" w:hAnsi="Arial" w:cs="Arial"/>
      <w:b/>
      <w:bCs/>
      <w:sz w:val="22"/>
      <w:szCs w:val="22"/>
      <w:lang w:eastAsia="ar-SA"/>
    </w:rPr>
  </w:style>
  <w:style w:type="character" w:customStyle="1" w:styleId="Ttulo2Char">
    <w:name w:val="Título 2 Char"/>
    <w:link w:val="Ttulo2"/>
    <w:uiPriority w:val="9"/>
    <w:rPr>
      <w:rFonts w:ascii="Times New Roman" w:eastAsia="Times New Roman" w:hAnsi="Times New Roman" w:cs="Times New Roman"/>
      <w:color w:val="000000"/>
      <w:sz w:val="24"/>
      <w:szCs w:val="20"/>
    </w:rPr>
  </w:style>
  <w:style w:type="character" w:customStyle="1" w:styleId="Ttulo3Char">
    <w:name w:val="Título 3 Char"/>
    <w:link w:val="Ttulo3"/>
    <w:uiPriority w:val="9"/>
    <w:rPr>
      <w:rFonts w:ascii="Arial Narrow" w:eastAsia="Times New Roman" w:hAnsi="Arial Narrow" w:cs="Times New Roman"/>
      <w:i/>
      <w:color w:val="000000"/>
      <w:sz w:val="38"/>
      <w:szCs w:val="20"/>
    </w:rPr>
  </w:style>
  <w:style w:type="character" w:customStyle="1" w:styleId="Ttulo4Char">
    <w:name w:val="Título 4 Char"/>
    <w:link w:val="Ttulo4"/>
    <w:uiPriority w:val="9"/>
    <w:rPr>
      <w:rFonts w:ascii="Times New Roman" w:eastAsia="Times New Roman" w:hAnsi="Times New Roman" w:cs="Times New Roman"/>
      <w:color w:val="000000"/>
      <w:sz w:val="24"/>
      <w:szCs w:val="20"/>
    </w:rPr>
  </w:style>
  <w:style w:type="character" w:customStyle="1" w:styleId="Ttulo5Char">
    <w:name w:val="Título 5 Char"/>
    <w:link w:val="Ttulo5"/>
    <w:uiPriority w:val="9"/>
    <w:rPr>
      <w:rFonts w:ascii="Times New Roman" w:eastAsia="Times New Roman" w:hAnsi="Times New Roman" w:cs="Times New Roman"/>
      <w:b/>
      <w:color w:val="000000"/>
      <w:sz w:val="24"/>
      <w:szCs w:val="20"/>
    </w:rPr>
  </w:style>
  <w:style w:type="character" w:customStyle="1" w:styleId="Ttulo6Char">
    <w:name w:val="Título 6 Char"/>
    <w:link w:val="Ttulo6"/>
    <w:uiPriority w:val="9"/>
    <w:rPr>
      <w:rFonts w:ascii="Arial Narrow" w:eastAsia="Times New Roman" w:hAnsi="Arial Narrow" w:cs="Times New Roman"/>
      <w:i/>
      <w:sz w:val="38"/>
      <w:szCs w:val="20"/>
    </w:rPr>
  </w:style>
  <w:style w:type="character" w:customStyle="1" w:styleId="Ttulo7Char">
    <w:name w:val="Título 7 Char"/>
    <w:link w:val="Ttulo7"/>
    <w:uiPriority w:val="9"/>
    <w:rPr>
      <w:rFonts w:ascii="Arial Rounded MT Bold" w:eastAsia="Times New Roman" w:hAnsi="Arial Rounded MT Bold" w:cs="Times New Roman"/>
      <w:b/>
      <w:sz w:val="28"/>
      <w:szCs w:val="20"/>
    </w:rPr>
  </w:style>
  <w:style w:type="character" w:customStyle="1" w:styleId="Ttulo8Char">
    <w:name w:val="Título 8 Char"/>
    <w:link w:val="Ttulo8"/>
    <w:uiPriority w:val="9"/>
    <w:rPr>
      <w:rFonts w:ascii="Times New Roman" w:eastAsia="Times New Roman" w:hAnsi="Times New Roman" w:cs="Times New Roman"/>
      <w:sz w:val="24"/>
      <w:szCs w:val="20"/>
    </w:rPr>
  </w:style>
  <w:style w:type="character" w:customStyle="1" w:styleId="Ttulo9Char">
    <w:name w:val="Título 9 Char"/>
    <w:link w:val="Ttulo9"/>
    <w:uiPriority w:val="9"/>
    <w:rPr>
      <w:rFonts w:ascii="Times New Roman" w:eastAsia="Times New Roman" w:hAnsi="Times New Roman" w:cs="Times New Roman"/>
      <w:b/>
      <w:color w:val="000000"/>
      <w:sz w:val="32"/>
      <w:szCs w:val="20"/>
    </w:rPr>
  </w:style>
  <w:style w:type="paragraph" w:styleId="Cabealho">
    <w:name w:val="header"/>
    <w:aliases w:val="encabezado,hd,he,Char, Char,Header Char,Cabeçalho superior,Heading 1a,Cabeçalho1,Ofício Circular,h,HeaderNN"/>
    <w:basedOn w:val="Normal"/>
    <w:link w:val="CabealhoChar"/>
    <w:uiPriority w:val="99"/>
    <w:pPr>
      <w:tabs>
        <w:tab w:val="center" w:pos="4419"/>
        <w:tab w:val="right" w:pos="8838"/>
      </w:tabs>
    </w:pPr>
    <w:rPr>
      <w:rFonts w:ascii="Times New Roman" w:eastAsia="Times New Roman" w:hAnsi="Times New Roman"/>
      <w:sz w:val="24"/>
      <w:szCs w:val="20"/>
    </w:rPr>
  </w:style>
  <w:style w:type="character" w:customStyle="1" w:styleId="CabealhoChar">
    <w:name w:val="Cabeçalho Char"/>
    <w:aliases w:val="encabezado Char,hd Char,he Char,Char Char, Char Char,Header Char Char,Cabeçalho superior Char,Heading 1a Char,Cabeçalho1 Char,Ofício Circular Char,h Char,HeaderNN Char"/>
    <w:link w:val="Cabealho"/>
    <w:uiPriority w:val="99"/>
    <w:qFormat/>
    <w:rPr>
      <w:rFonts w:ascii="Times New Roman" w:eastAsia="Times New Roman" w:hAnsi="Times New Roman" w:cs="Times New Roman"/>
      <w:sz w:val="24"/>
      <w:szCs w:val="20"/>
    </w:rPr>
  </w:style>
  <w:style w:type="paragraph" w:styleId="Rodap">
    <w:name w:val="footer"/>
    <w:basedOn w:val="Normal"/>
    <w:link w:val="RodapChar"/>
    <w:uiPriority w:val="99"/>
    <w:pPr>
      <w:tabs>
        <w:tab w:val="center" w:pos="4419"/>
        <w:tab w:val="right" w:pos="8838"/>
      </w:tabs>
    </w:pPr>
    <w:rPr>
      <w:rFonts w:ascii="Times New Roman" w:eastAsia="Times New Roman" w:hAnsi="Times New Roman"/>
      <w:sz w:val="24"/>
      <w:szCs w:val="20"/>
    </w:rPr>
  </w:style>
  <w:style w:type="character" w:customStyle="1" w:styleId="RodapChar">
    <w:name w:val="Rodapé Char"/>
    <w:link w:val="Rodap"/>
    <w:uiPriority w:val="99"/>
    <w:rPr>
      <w:rFonts w:ascii="Times New Roman" w:eastAsia="Times New Roman" w:hAnsi="Times New Roman" w:cs="Times New Roman"/>
      <w:sz w:val="24"/>
      <w:szCs w:val="20"/>
    </w:rPr>
  </w:style>
  <w:style w:type="paragraph" w:styleId="Corpodetexto2">
    <w:name w:val="Body Text 2"/>
    <w:basedOn w:val="Normal"/>
    <w:link w:val="Corpodetexto2Char"/>
    <w:pPr>
      <w:jc w:val="both"/>
    </w:pPr>
    <w:rPr>
      <w:rFonts w:ascii="Times New Roman" w:eastAsia="Times New Roman" w:hAnsi="Times New Roman"/>
      <w:sz w:val="28"/>
      <w:szCs w:val="20"/>
    </w:rPr>
  </w:style>
  <w:style w:type="character" w:customStyle="1" w:styleId="Corpodetexto2Char">
    <w:name w:val="Corpo de texto 2 Char"/>
    <w:link w:val="Corpodetexto2"/>
    <w:rPr>
      <w:rFonts w:ascii="Times New Roman" w:eastAsia="Times New Roman" w:hAnsi="Times New Roman" w:cs="Times New Roman"/>
      <w:sz w:val="28"/>
      <w:szCs w:val="20"/>
    </w:rPr>
  </w:style>
  <w:style w:type="character" w:styleId="Forte">
    <w:name w:val="Strong"/>
    <w:uiPriority w:val="22"/>
    <w:qFormat/>
    <w:rPr>
      <w:b/>
      <w:bCs/>
    </w:rPr>
  </w:style>
  <w:style w:type="paragraph" w:styleId="Recuodecorpodetexto">
    <w:name w:val="Body Text Indent"/>
    <w:basedOn w:val="Normal"/>
    <w:link w:val="RecuodecorpodetextoChar"/>
    <w:pPr>
      <w:tabs>
        <w:tab w:val="left" w:pos="-1440"/>
        <w:tab w:val="left" w:pos="-720"/>
      </w:tabs>
      <w:suppressAutoHyphens/>
      <w:ind w:firstLine="1985"/>
      <w:jc w:val="both"/>
    </w:pPr>
    <w:rPr>
      <w:rFonts w:ascii="Arial" w:eastAsia="Times New Roman" w:hAnsi="Arial"/>
      <w:spacing w:val="-3"/>
      <w:sz w:val="24"/>
      <w:szCs w:val="20"/>
    </w:rPr>
  </w:style>
  <w:style w:type="character" w:customStyle="1" w:styleId="RecuodecorpodetextoChar">
    <w:name w:val="Recuo de corpo de texto Char"/>
    <w:link w:val="Recuodecorpodetexto"/>
    <w:rPr>
      <w:rFonts w:ascii="Arial" w:eastAsia="Times New Roman" w:hAnsi="Arial" w:cs="Times New Roman"/>
      <w:spacing w:val="-3"/>
      <w:sz w:val="24"/>
      <w:szCs w:val="20"/>
    </w:rPr>
  </w:style>
  <w:style w:type="paragraph" w:styleId="Recuodecorpodetexto3">
    <w:name w:val="Body Text Indent 3"/>
    <w:basedOn w:val="Normal"/>
    <w:link w:val="Recuodecorpodetexto3Char"/>
    <w:pPr>
      <w:ind w:left="1985"/>
      <w:jc w:val="both"/>
    </w:pPr>
    <w:rPr>
      <w:rFonts w:ascii="Arial" w:eastAsia="Times New Roman" w:hAnsi="Arial"/>
      <w:szCs w:val="20"/>
    </w:rPr>
  </w:style>
  <w:style w:type="character" w:customStyle="1" w:styleId="Recuodecorpodetexto3Char">
    <w:name w:val="Recuo de corpo de texto 3 Char"/>
    <w:link w:val="Recuodecorpodetexto3"/>
    <w:rPr>
      <w:rFonts w:ascii="Arial" w:eastAsia="Times New Roman" w:hAnsi="Arial" w:cs="Times New Roman"/>
      <w:szCs w:val="20"/>
    </w:rPr>
  </w:style>
  <w:style w:type="paragraph" w:styleId="Recuodecorpodetexto2">
    <w:name w:val="Body Text Indent 2"/>
    <w:basedOn w:val="Normal"/>
    <w:link w:val="Recuodecorpodetexto2Char"/>
    <w:pPr>
      <w:ind w:firstLine="1985"/>
      <w:jc w:val="both"/>
    </w:pPr>
    <w:rPr>
      <w:rFonts w:ascii="Arial" w:eastAsia="Times New Roman" w:hAnsi="Arial"/>
      <w:color w:val="000000"/>
      <w:sz w:val="20"/>
      <w:szCs w:val="20"/>
    </w:rPr>
  </w:style>
  <w:style w:type="character" w:customStyle="1" w:styleId="Recuodecorpodetexto2Char">
    <w:name w:val="Recuo de corpo de texto 2 Char"/>
    <w:link w:val="Recuodecorpodetexto2"/>
    <w:rPr>
      <w:rFonts w:ascii="Arial" w:eastAsia="Times New Roman" w:hAnsi="Arial" w:cs="Times New Roman"/>
      <w:color w:val="000000"/>
      <w:sz w:val="20"/>
      <w:szCs w:val="20"/>
    </w:rPr>
  </w:style>
  <w:style w:type="paragraph" w:styleId="Corpodetexto">
    <w:name w:val="Body Text"/>
    <w:basedOn w:val="Normal"/>
    <w:link w:val="CorpodetextoChar"/>
    <w:uiPriority w:val="1"/>
    <w:qFormat/>
    <w:pPr>
      <w:jc w:val="both"/>
    </w:pPr>
    <w:rPr>
      <w:rFonts w:ascii="Arial" w:eastAsia="Times New Roman" w:hAnsi="Arial"/>
      <w:szCs w:val="20"/>
    </w:rPr>
  </w:style>
  <w:style w:type="character" w:customStyle="1" w:styleId="CorpodetextoChar">
    <w:name w:val="Corpo de texto Char"/>
    <w:link w:val="Corpodetexto"/>
    <w:uiPriority w:val="1"/>
    <w:rPr>
      <w:rFonts w:ascii="Arial" w:eastAsia="Times New Roman" w:hAnsi="Arial" w:cs="Times New Roman"/>
      <w:szCs w:val="20"/>
    </w:rPr>
  </w:style>
  <w:style w:type="paragraph" w:styleId="Corpodetexto3">
    <w:name w:val="Body Text 3"/>
    <w:basedOn w:val="Normal"/>
    <w:link w:val="Corpodetexto3Char"/>
    <w:rPr>
      <w:rFonts w:ascii="Times New Roman" w:eastAsia="Times New Roman" w:hAnsi="Times New Roman"/>
      <w:sz w:val="24"/>
      <w:szCs w:val="20"/>
    </w:rPr>
  </w:style>
  <w:style w:type="character" w:customStyle="1" w:styleId="Corpodetexto3Char">
    <w:name w:val="Corpo de texto 3 Char"/>
    <w:link w:val="Corpodetexto3"/>
    <w:rPr>
      <w:rFonts w:ascii="Times New Roman" w:eastAsia="Times New Roman" w:hAnsi="Times New Roman" w:cs="Times New Roman"/>
      <w:sz w:val="24"/>
      <w:szCs w:val="20"/>
    </w:rPr>
  </w:style>
  <w:style w:type="paragraph" w:customStyle="1" w:styleId="Corpodetexto21">
    <w:name w:val="Corpo de texto 21"/>
    <w:basedOn w:val="Normal"/>
    <w:pPr>
      <w:ind w:firstLine="851"/>
      <w:jc w:val="both"/>
    </w:pPr>
    <w:rPr>
      <w:rFonts w:ascii="Arial" w:eastAsia="Times New Roman" w:hAnsi="Arial"/>
      <w:szCs w:val="20"/>
      <w:lang w:eastAsia="pt-BR"/>
    </w:rPr>
  </w:style>
  <w:style w:type="paragraph" w:styleId="Ttulo">
    <w:name w:val="Title"/>
    <w:basedOn w:val="Normal"/>
    <w:link w:val="TtuloChar"/>
    <w:qFormat/>
    <w:pPr>
      <w:jc w:val="center"/>
    </w:pPr>
    <w:rPr>
      <w:rFonts w:ascii="Bookman Old Style" w:eastAsia="Times New Roman" w:hAnsi="Bookman Old Style"/>
      <w:b/>
      <w:color w:val="000000"/>
      <w:sz w:val="30"/>
      <w:szCs w:val="20"/>
    </w:rPr>
  </w:style>
  <w:style w:type="character" w:customStyle="1" w:styleId="TtuloChar">
    <w:name w:val="Título Char"/>
    <w:link w:val="Ttulo"/>
    <w:uiPriority w:val="99"/>
    <w:rPr>
      <w:rFonts w:ascii="Bookman Old Style" w:eastAsia="Times New Roman" w:hAnsi="Bookman Old Style" w:cs="Times New Roman"/>
      <w:b/>
      <w:color w:val="000000"/>
      <w:sz w:val="30"/>
      <w:szCs w:val="20"/>
    </w:rPr>
  </w:style>
  <w:style w:type="character" w:styleId="Nmerodepgina">
    <w:name w:val="page number"/>
  </w:style>
  <w:style w:type="paragraph" w:customStyle="1" w:styleId="BodyText22">
    <w:name w:val="Body Text 22"/>
    <w:basedOn w:val="Normal"/>
    <w:pPr>
      <w:jc w:val="both"/>
    </w:pPr>
    <w:rPr>
      <w:rFonts w:ascii="Bookman Old Style" w:eastAsia="Times New Roman" w:hAnsi="Bookman Old Style"/>
      <w:color w:val="000000"/>
      <w:sz w:val="28"/>
      <w:szCs w:val="20"/>
      <w:lang w:eastAsia="pt-BR"/>
    </w:rPr>
  </w:style>
  <w:style w:type="paragraph" w:styleId="Textoembloco">
    <w:name w:val="Block Text"/>
    <w:basedOn w:val="Normal"/>
    <w:uiPriority w:val="99"/>
    <w:pPr>
      <w:ind w:left="1701" w:right="3170"/>
      <w:jc w:val="both"/>
    </w:pPr>
    <w:rPr>
      <w:rFonts w:ascii="Times New Roman" w:eastAsia="Times New Roman" w:hAnsi="Times New Roman"/>
      <w:sz w:val="24"/>
      <w:szCs w:val="20"/>
      <w:lang w:eastAsia="pt-BR"/>
    </w:rPr>
  </w:style>
  <w:style w:type="paragraph" w:customStyle="1" w:styleId="WW-Corpodetexto3">
    <w:name w:val="WW-Corpo de texto 3"/>
    <w:basedOn w:val="Normal"/>
    <w:pPr>
      <w:suppressAutoHyphens/>
      <w:spacing w:after="120"/>
    </w:pPr>
    <w:rPr>
      <w:rFonts w:ascii="Times New Roman" w:eastAsia="Times New Roman" w:hAnsi="Times New Roman"/>
      <w:sz w:val="16"/>
      <w:szCs w:val="16"/>
      <w:lang w:eastAsia="ar-SA"/>
    </w:rPr>
  </w:style>
  <w:style w:type="paragraph" w:customStyle="1" w:styleId="WW-Recuodecorpodetexto2">
    <w:name w:val="WW-Recuo de corpo de texto 2"/>
    <w:basedOn w:val="Normal"/>
    <w:pPr>
      <w:suppressAutoHyphens/>
      <w:ind w:left="2552" w:hanging="567"/>
      <w:jc w:val="both"/>
    </w:pPr>
    <w:rPr>
      <w:rFonts w:ascii="Times New Roman" w:eastAsia="Times New Roman" w:hAnsi="Times New Roman"/>
      <w:sz w:val="24"/>
      <w:szCs w:val="20"/>
      <w:lang w:eastAsia="ar-SA"/>
    </w:rPr>
  </w:style>
  <w:style w:type="paragraph" w:customStyle="1" w:styleId="WW-Recuodecorpodetexto21">
    <w:name w:val="WW-Recuo de corpo de texto 21"/>
    <w:basedOn w:val="Normal"/>
    <w:pPr>
      <w:suppressAutoHyphens/>
      <w:ind w:firstLine="1418"/>
      <w:jc w:val="both"/>
    </w:pPr>
    <w:rPr>
      <w:rFonts w:ascii="Arial" w:eastAsia="Times New Roman" w:hAnsi="Arial"/>
      <w:sz w:val="24"/>
      <w:szCs w:val="20"/>
      <w:lang w:eastAsia="ar-SA"/>
    </w:rPr>
  </w:style>
  <w:style w:type="paragraph" w:customStyle="1" w:styleId="parag-1">
    <w:name w:val="parag-1"/>
    <w:basedOn w:val="Normal"/>
    <w:pPr>
      <w:suppressAutoHyphens/>
      <w:jc w:val="both"/>
    </w:pPr>
    <w:rPr>
      <w:rFonts w:ascii="Times New Roman" w:eastAsia="Times New Roman" w:hAnsi="Times New Roman"/>
      <w:sz w:val="24"/>
      <w:szCs w:val="20"/>
      <w:lang w:eastAsia="ar-SA"/>
    </w:rPr>
  </w:style>
  <w:style w:type="paragraph" w:customStyle="1" w:styleId="WW-Recuodecorpodetexto3">
    <w:name w:val="WW-Recuo de corpo de texto 3"/>
    <w:basedOn w:val="Normal"/>
    <w:pPr>
      <w:suppressAutoHyphens/>
      <w:ind w:left="1418"/>
      <w:jc w:val="both"/>
    </w:pPr>
    <w:rPr>
      <w:rFonts w:ascii="Times New Roman" w:eastAsia="Times New Roman" w:hAnsi="Times New Roman"/>
      <w:sz w:val="24"/>
      <w:szCs w:val="20"/>
      <w:lang w:eastAsia="ar-SA"/>
    </w:rPr>
  </w:style>
  <w:style w:type="paragraph" w:customStyle="1" w:styleId="WW-Textoembloco">
    <w:name w:val="WW-Texto em bloco"/>
    <w:basedOn w:val="Normal"/>
    <w:pPr>
      <w:suppressAutoHyphens/>
      <w:ind w:left="1701" w:right="3170"/>
      <w:jc w:val="both"/>
    </w:pPr>
    <w:rPr>
      <w:rFonts w:ascii="Times New Roman" w:eastAsia="Times New Roman" w:hAnsi="Times New Roman"/>
      <w:sz w:val="24"/>
      <w:szCs w:val="20"/>
      <w:lang w:eastAsia="ar-SA"/>
    </w:rPr>
  </w:style>
  <w:style w:type="paragraph" w:customStyle="1" w:styleId="WW-Corpodetexto2">
    <w:name w:val="WW-Corpo de texto 2"/>
    <w:basedOn w:val="Normal"/>
    <w:uiPriority w:val="99"/>
    <w:pPr>
      <w:tabs>
        <w:tab w:val="left" w:leader="underscore" w:pos="8789"/>
      </w:tabs>
      <w:suppressAutoHyphens/>
      <w:jc w:val="both"/>
    </w:pPr>
    <w:rPr>
      <w:rFonts w:ascii="Times New Roman" w:eastAsia="Times New Roman" w:hAnsi="Times New Roman"/>
      <w:sz w:val="24"/>
      <w:szCs w:val="20"/>
      <w:lang w:eastAsia="ar-SA"/>
    </w:rPr>
  </w:style>
  <w:style w:type="paragraph" w:customStyle="1" w:styleId="Contedodatabela">
    <w:name w:val="Conteúdo da tabela"/>
    <w:basedOn w:val="Normal"/>
    <w:pPr>
      <w:suppressLineNumbers/>
      <w:suppressAutoHyphens/>
    </w:pPr>
    <w:rPr>
      <w:rFonts w:ascii="Times New Roman" w:eastAsia="Times New Roman" w:hAnsi="Times New Roman"/>
      <w:sz w:val="20"/>
      <w:szCs w:val="20"/>
      <w:lang w:eastAsia="ar-SA"/>
    </w:rPr>
  </w:style>
  <w:style w:type="paragraph" w:customStyle="1" w:styleId="Ttulodatabela">
    <w:name w:val="Título da tabela"/>
    <w:basedOn w:val="Contedodatabela"/>
    <w:pPr>
      <w:jc w:val="center"/>
    </w:pPr>
    <w:rPr>
      <w:b/>
      <w:bCs/>
      <w:i/>
      <w:iCs/>
    </w:rPr>
  </w:style>
  <w:style w:type="paragraph" w:customStyle="1" w:styleId="WW-ContedodaTabela">
    <w:name w:val="WW-Conteúdo da Tabela"/>
    <w:basedOn w:val="Corpodetexto"/>
    <w:pPr>
      <w:suppressLineNumbers/>
      <w:suppressAutoHyphens/>
    </w:pPr>
    <w:rPr>
      <w:sz w:val="24"/>
      <w:lang w:eastAsia="ar-SA"/>
    </w:rPr>
  </w:style>
  <w:style w:type="paragraph" w:customStyle="1" w:styleId="WW-TtulodaTabela">
    <w:name w:val="WW-Título da Tabela"/>
    <w:basedOn w:val="WW-ContedodaTabela"/>
    <w:pPr>
      <w:jc w:val="center"/>
    </w:pPr>
    <w:rPr>
      <w:b/>
      <w:bCs/>
      <w:i/>
      <w:iCs/>
    </w:r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sz w:val="24"/>
      <w:szCs w:val="24"/>
      <w:lang w:eastAsia="pt-BR"/>
    </w:rPr>
  </w:style>
  <w:style w:type="paragraph" w:styleId="PargrafodaLista">
    <w:name w:val="List Paragraph"/>
    <w:basedOn w:val="Normal"/>
    <w:link w:val="PargrafodaListaChar"/>
    <w:uiPriority w:val="34"/>
    <w:qFormat/>
    <w:pPr>
      <w:suppressAutoHyphens/>
      <w:ind w:left="720"/>
      <w:contextualSpacing/>
    </w:pPr>
    <w:rPr>
      <w:rFonts w:ascii="Times New Roman" w:eastAsia="Times New Roman" w:hAnsi="Times New Roman"/>
      <w:sz w:val="20"/>
      <w:szCs w:val="20"/>
      <w:lang w:eastAsia="ar-SA"/>
    </w:rPr>
  </w:style>
  <w:style w:type="character" w:customStyle="1" w:styleId="WW8Num49z0">
    <w:name w:val="WW8Num49z0"/>
    <w:rPr>
      <w:rFonts w:ascii="Times New Roman" w:hAnsi="Times New Roman"/>
    </w:rPr>
  </w:style>
  <w:style w:type="character" w:styleId="Hyperlink">
    <w:name w:val="Hyperlink"/>
    <w:uiPriority w:val="99"/>
    <w:rPr>
      <w:rFonts w:cs="Times New Roman"/>
      <w:color w:val="990000"/>
      <w:u w:val="single"/>
    </w:rPr>
  </w:style>
  <w:style w:type="character" w:customStyle="1" w:styleId="TextodebaloChar">
    <w:name w:val="Texto de balão Char"/>
    <w:link w:val="Textodebalo"/>
    <w:uiPriority w:val="99"/>
    <w:rPr>
      <w:rFonts w:ascii="Tahoma" w:eastAsia="Times New Roman" w:hAnsi="Tahoma" w:cs="Tahoma"/>
      <w:sz w:val="16"/>
      <w:szCs w:val="16"/>
    </w:rPr>
  </w:style>
  <w:style w:type="paragraph" w:styleId="Textodebalo">
    <w:name w:val="Balloon Text"/>
    <w:basedOn w:val="Normal"/>
    <w:link w:val="TextodebaloChar"/>
    <w:uiPriority w:val="99"/>
    <w:pPr>
      <w:spacing w:after="200" w:line="276" w:lineRule="auto"/>
    </w:pPr>
    <w:rPr>
      <w:rFonts w:ascii="Tahoma" w:eastAsia="Times New Roman" w:hAnsi="Tahoma" w:cs="Tahoma"/>
      <w:sz w:val="16"/>
      <w:szCs w:val="16"/>
    </w:rPr>
  </w:style>
  <w:style w:type="character" w:customStyle="1" w:styleId="TextodebaloChar1">
    <w:name w:val="Texto de balão Char1"/>
    <w:uiPriority w:val="99"/>
    <w:semiHidden/>
    <w:rPr>
      <w:rFonts w:ascii="Tahoma" w:eastAsia="Calibri" w:hAnsi="Tahoma" w:cs="Tahoma"/>
      <w:sz w:val="16"/>
      <w:szCs w:val="16"/>
    </w:rPr>
  </w:style>
  <w:style w:type="character" w:styleId="nfase">
    <w:name w:val="Emphasis"/>
    <w:uiPriority w:val="20"/>
    <w:qFormat/>
    <w:rPr>
      <w:rFonts w:cs="Times New Roman"/>
      <w:i/>
      <w:iCs/>
    </w:rPr>
  </w:style>
  <w:style w:type="paragraph" w:customStyle="1" w:styleId="Estilo4">
    <w:name w:val="Estilo4"/>
    <w:basedOn w:val="Normal"/>
    <w:autoRedefine/>
    <w:pPr>
      <w:tabs>
        <w:tab w:val="num" w:pos="1440"/>
      </w:tabs>
      <w:spacing w:after="200" w:line="276" w:lineRule="auto"/>
      <w:ind w:left="1080" w:hanging="360"/>
      <w:jc w:val="both"/>
    </w:pPr>
    <w:rPr>
      <w:rFonts w:ascii="Arial" w:eastAsia="Times New Roman" w:hAnsi="Arial" w:cs="Arial"/>
      <w:sz w:val="20"/>
      <w:szCs w:val="20"/>
    </w:rPr>
  </w:style>
  <w:style w:type="paragraph" w:customStyle="1" w:styleId="Recuodecorpodetexto1">
    <w:name w:val="Recuo de corpo de texto1"/>
    <w:basedOn w:val="Normal"/>
    <w:link w:val="BodyTextIndentChar"/>
    <w:pPr>
      <w:numPr>
        <w:ilvl w:val="1"/>
        <w:numId w:val="1"/>
      </w:numPr>
      <w:tabs>
        <w:tab w:val="clear" w:pos="1440"/>
      </w:tabs>
      <w:spacing w:after="120" w:line="276" w:lineRule="auto"/>
      <w:ind w:left="283" w:firstLine="0"/>
    </w:pPr>
    <w:rPr>
      <w:rFonts w:eastAsia="Times New Roman"/>
    </w:rPr>
  </w:style>
  <w:style w:type="character" w:customStyle="1" w:styleId="BodyTextIndentChar">
    <w:name w:val="Body Text Indent Char"/>
    <w:link w:val="Recuodecorpodetexto1"/>
    <w:rPr>
      <w:rFonts w:eastAsia="Times New Roman"/>
      <w:sz w:val="22"/>
      <w:szCs w:val="22"/>
      <w:lang w:eastAsia="en-US"/>
    </w:rPr>
  </w:style>
  <w:style w:type="paragraph" w:customStyle="1" w:styleId="p2">
    <w:name w:val="p2"/>
    <w:basedOn w:val="Normal"/>
    <w:pPr>
      <w:widowControl w:val="0"/>
      <w:tabs>
        <w:tab w:val="left" w:pos="720"/>
      </w:tabs>
      <w:spacing w:after="200" w:line="280" w:lineRule="atLeast"/>
    </w:pPr>
    <w:rPr>
      <w:rFonts w:eastAsia="Times New Roman"/>
      <w:szCs w:val="20"/>
    </w:rPr>
  </w:style>
  <w:style w:type="paragraph" w:styleId="SemEspaamento">
    <w:name w:val="No Spacing"/>
    <w:link w:val="SemEspaamentoChar"/>
    <w:uiPriority w:val="1"/>
    <w:qFormat/>
    <w:rPr>
      <w:rFonts w:eastAsia="Times New Roman"/>
      <w:sz w:val="22"/>
      <w:szCs w:val="22"/>
      <w:lang w:eastAsia="en-US"/>
    </w:rPr>
  </w:style>
  <w:style w:type="paragraph" w:customStyle="1" w:styleId="Default">
    <w:name w:val="Default"/>
    <w:pPr>
      <w:autoSpaceDE w:val="0"/>
      <w:autoSpaceDN w:val="0"/>
      <w:adjustRightInd w:val="0"/>
    </w:pPr>
    <w:rPr>
      <w:rFonts w:ascii="Tahoma-Bold" w:eastAsia="Times New Roman" w:hAnsi="Tahoma-Bold"/>
      <w:lang w:eastAsia="pt-BR"/>
    </w:rPr>
  </w:style>
  <w:style w:type="paragraph" w:customStyle="1" w:styleId="WW-Recuodecorpodetexto31">
    <w:name w:val="WW-Recuo de corpo de texto 31"/>
    <w:basedOn w:val="Normal"/>
    <w:uiPriority w:val="99"/>
    <w:pPr>
      <w:suppressAutoHyphens/>
      <w:ind w:firstLine="567"/>
      <w:jc w:val="both"/>
    </w:pPr>
    <w:rPr>
      <w:rFonts w:ascii="Arial" w:eastAsia="Times New Roman" w:hAnsi="Arial"/>
      <w:sz w:val="20"/>
      <w:szCs w:val="24"/>
      <w:lang w:eastAsia="pt-BR"/>
    </w:rPr>
  </w:style>
  <w:style w:type="paragraph" w:styleId="Lista">
    <w:name w:val="List"/>
    <w:basedOn w:val="Normal"/>
    <w:pPr>
      <w:suppressAutoHyphens/>
      <w:ind w:left="283" w:hanging="283"/>
    </w:pPr>
    <w:rPr>
      <w:rFonts w:ascii="Arial" w:eastAsia="Times New Roman" w:hAnsi="Arial"/>
      <w:sz w:val="24"/>
      <w:szCs w:val="20"/>
      <w:lang w:eastAsia="ar-SA"/>
    </w:rPr>
  </w:style>
  <w:style w:type="paragraph" w:customStyle="1" w:styleId="style10">
    <w:name w:val="style10"/>
    <w:basedOn w:val="Normal"/>
    <w:pPr>
      <w:spacing w:before="100" w:beforeAutospacing="1" w:after="100" w:afterAutospacing="1"/>
    </w:pPr>
    <w:rPr>
      <w:rFonts w:ascii="Verdana" w:eastAsia="Times New Roman" w:hAnsi="Verdana"/>
      <w:sz w:val="17"/>
      <w:szCs w:val="17"/>
      <w:lang w:eastAsia="pt-BR"/>
    </w:rPr>
  </w:style>
  <w:style w:type="character" w:customStyle="1" w:styleId="style91">
    <w:name w:val="style91"/>
    <w:rPr>
      <w:rFonts w:ascii="Verdana" w:hAnsi="Verdana" w:cs="Times New Roman"/>
      <w:sz w:val="17"/>
      <w:szCs w:val="17"/>
    </w:rPr>
  </w:style>
  <w:style w:type="character" w:customStyle="1" w:styleId="textocur1">
    <w:name w:val="texto_cur1"/>
    <w:rPr>
      <w:rFonts w:ascii="Verdana" w:hAnsi="Verdana" w:cs="Verdana"/>
      <w:color w:val="000000"/>
      <w:sz w:val="14"/>
      <w:szCs w:val="14"/>
    </w:rPr>
  </w:style>
  <w:style w:type="paragraph" w:customStyle="1" w:styleId="WW-NormalWeb">
    <w:name w:val="WW-Normal (Web)"/>
    <w:basedOn w:val="Normal"/>
    <w:pPr>
      <w:suppressAutoHyphens/>
      <w:spacing w:before="100" w:after="100"/>
    </w:pPr>
    <w:rPr>
      <w:rFonts w:ascii="Arial" w:eastAsia="Times New Roman" w:hAnsi="Arial"/>
      <w:sz w:val="24"/>
      <w:szCs w:val="20"/>
      <w:lang w:eastAsia="ar-SA"/>
    </w:rPr>
  </w:style>
  <w:style w:type="paragraph" w:customStyle="1" w:styleId="Corpo">
    <w:name w:val="Corpo"/>
    <w:pPr>
      <w:widowControl w:val="0"/>
      <w:suppressAutoHyphens/>
      <w:jc w:val="both"/>
    </w:pPr>
    <w:rPr>
      <w:rFonts w:ascii="Arial" w:eastAsia="Times New Roman" w:hAnsi="Arial"/>
      <w:color w:val="000000"/>
      <w:sz w:val="24"/>
      <w:lang w:eastAsia="ar-SA"/>
    </w:rPr>
  </w:style>
  <w:style w:type="paragraph" w:customStyle="1" w:styleId="CAB12">
    <w:name w:val="CAB12"/>
    <w:pPr>
      <w:widowControl w:val="0"/>
      <w:ind w:left="144"/>
    </w:pPr>
    <w:rPr>
      <w:rFonts w:ascii="Times New Roman" w:eastAsia="Times New Roman" w:hAnsi="Times New Roman"/>
      <w:color w:val="000000"/>
      <w:lang w:eastAsia="pt-BR"/>
    </w:rPr>
  </w:style>
  <w:style w:type="paragraph" w:customStyle="1" w:styleId="CAB15">
    <w:name w:val="CAB15"/>
    <w:pPr>
      <w:widowControl w:val="0"/>
      <w:ind w:left="144" w:right="2736"/>
    </w:pPr>
    <w:rPr>
      <w:rFonts w:ascii="Times New Roman" w:eastAsia="Times New Roman" w:hAnsi="Times New Roman"/>
      <w:color w:val="000000"/>
      <w:sz w:val="16"/>
      <w:lang w:eastAsia="pt-BR"/>
    </w:rPr>
  </w:style>
  <w:style w:type="paragraph" w:styleId="Lista2">
    <w:name w:val="List 2"/>
    <w:basedOn w:val="Normal"/>
    <w:pPr>
      <w:ind w:left="566" w:hanging="283"/>
    </w:pPr>
    <w:rPr>
      <w:rFonts w:ascii="Times New Roman" w:eastAsia="Times New Roman" w:hAnsi="Times New Roman"/>
      <w:sz w:val="20"/>
      <w:szCs w:val="20"/>
      <w:lang w:val="pt-PT" w:eastAsia="pt-BR"/>
    </w:rPr>
  </w:style>
  <w:style w:type="paragraph" w:customStyle="1" w:styleId="Subitem-2">
    <w:name w:val="Subitem-2"/>
    <w:pPr>
      <w:keepLines/>
      <w:widowControl w:val="0"/>
      <w:tabs>
        <w:tab w:val="left" w:pos="8784"/>
      </w:tabs>
      <w:spacing w:before="240"/>
      <w:ind w:left="1560" w:hanging="851"/>
      <w:jc w:val="both"/>
    </w:pPr>
    <w:rPr>
      <w:rFonts w:ascii="Arial" w:eastAsia="Times New Roman" w:hAnsi="Arial"/>
      <w:color w:val="000000"/>
      <w:sz w:val="24"/>
      <w:lang w:eastAsia="pt-BR"/>
    </w:rPr>
  </w:style>
  <w:style w:type="paragraph" w:customStyle="1" w:styleId="Subitem-1">
    <w:name w:val="Subitem-1"/>
    <w:basedOn w:val="Normal"/>
    <w:pPr>
      <w:keepLines/>
      <w:widowControl w:val="0"/>
      <w:tabs>
        <w:tab w:val="left" w:pos="8784"/>
      </w:tabs>
      <w:spacing w:before="180"/>
      <w:ind w:left="709" w:hanging="709"/>
      <w:jc w:val="both"/>
    </w:pPr>
    <w:rPr>
      <w:rFonts w:ascii="Arial" w:eastAsia="Times New Roman" w:hAnsi="Arial"/>
      <w:color w:val="000000"/>
      <w:sz w:val="24"/>
      <w:szCs w:val="20"/>
      <w:lang w:eastAsia="pt-BR"/>
    </w:rPr>
  </w:style>
  <w:style w:type="paragraph" w:customStyle="1" w:styleId="TCTtuloCentralizado">
    <w:name w:val="TC TítuloCentralizado"/>
    <w:next w:val="SCSubttuloCentralizado"/>
    <w:pPr>
      <w:widowControl w:val="0"/>
      <w:spacing w:before="720" w:after="360"/>
      <w:jc w:val="center"/>
    </w:pPr>
    <w:rPr>
      <w:rFonts w:ascii="Times New Roman" w:eastAsia="Times New Roman" w:hAnsi="Times New Roman"/>
      <w:b/>
      <w:caps/>
      <w:color w:val="000000"/>
      <w:sz w:val="36"/>
      <w:lang w:eastAsia="pt-BR"/>
    </w:rPr>
  </w:style>
  <w:style w:type="paragraph" w:customStyle="1" w:styleId="SCSubttuloCentralizado">
    <w:name w:val="SC SubtítuloCentralizado"/>
    <w:next w:val="Normal"/>
    <w:pPr>
      <w:widowControl w:val="0"/>
      <w:spacing w:before="260" w:after="390"/>
      <w:jc w:val="center"/>
    </w:pPr>
    <w:rPr>
      <w:rFonts w:ascii="Times New Roman" w:eastAsia="Times New Roman" w:hAnsi="Times New Roman"/>
      <w:b/>
      <w:caps/>
      <w:color w:val="000000"/>
      <w:sz w:val="26"/>
      <w:lang w:eastAsia="pt-BR"/>
    </w:rPr>
  </w:style>
  <w:style w:type="paragraph" w:customStyle="1" w:styleId="A101665">
    <w:name w:val="_A101665"/>
    <w:pPr>
      <w:widowControl w:val="0"/>
      <w:ind w:left="2304" w:right="5040" w:hanging="864"/>
      <w:jc w:val="both"/>
    </w:pPr>
    <w:rPr>
      <w:rFonts w:ascii="Times New Roman" w:eastAsia="Times New Roman" w:hAnsi="Times New Roman"/>
      <w:color w:val="000000"/>
      <w:sz w:val="24"/>
      <w:lang w:eastAsia="pt-BR"/>
    </w:rPr>
  </w:style>
  <w:style w:type="paragraph" w:customStyle="1" w:styleId="SUBITEM">
    <w:name w:val="SUBITEM"/>
    <w:basedOn w:val="Normal"/>
    <w:pPr>
      <w:widowControl w:val="0"/>
      <w:spacing w:before="180"/>
      <w:ind w:left="993" w:hanging="709"/>
      <w:jc w:val="both"/>
    </w:pPr>
    <w:rPr>
      <w:rFonts w:ascii="Arial" w:eastAsia="Times New Roman" w:hAnsi="Arial"/>
      <w:sz w:val="26"/>
      <w:szCs w:val="20"/>
      <w:lang w:val="pt-PT" w:eastAsia="pt-BR"/>
    </w:rPr>
  </w:style>
  <w:style w:type="paragraph" w:customStyle="1" w:styleId="tit3">
    <w:name w:val="tit_3"/>
    <w:basedOn w:val="Normal"/>
    <w:pPr>
      <w:spacing w:before="180"/>
      <w:ind w:left="1701" w:hanging="992"/>
      <w:jc w:val="both"/>
    </w:pPr>
    <w:rPr>
      <w:rFonts w:ascii="Courier New" w:eastAsia="Times New Roman" w:hAnsi="Courier New"/>
      <w:sz w:val="24"/>
      <w:szCs w:val="20"/>
      <w:lang w:eastAsia="pt-BR"/>
    </w:rPr>
  </w:style>
  <w:style w:type="paragraph" w:customStyle="1" w:styleId="SUBITEM1">
    <w:name w:val="SUBITEM1"/>
    <w:basedOn w:val="texto1"/>
    <w:pPr>
      <w:ind w:left="567" w:hanging="567"/>
    </w:pPr>
  </w:style>
  <w:style w:type="paragraph" w:customStyle="1" w:styleId="texto1">
    <w:name w:val="texto1"/>
    <w:basedOn w:val="Normal"/>
    <w:uiPriority w:val="99"/>
    <w:pPr>
      <w:spacing w:before="120"/>
      <w:ind w:firstLine="1701"/>
      <w:jc w:val="both"/>
    </w:pPr>
    <w:rPr>
      <w:rFonts w:ascii="Arial" w:eastAsia="Times New Roman" w:hAnsi="Arial"/>
      <w:szCs w:val="20"/>
      <w:lang w:val="pt-PT" w:eastAsia="pt-BR"/>
    </w:rPr>
  </w:style>
  <w:style w:type="paragraph" w:customStyle="1" w:styleId="A030370">
    <w:name w:val="_A030370"/>
    <w:pPr>
      <w:widowControl w:val="0"/>
      <w:ind w:left="432" w:right="5328"/>
      <w:jc w:val="both"/>
    </w:pPr>
    <w:rPr>
      <w:rFonts w:ascii="Times New Roman" w:eastAsia="Times New Roman" w:hAnsi="Times New Roman"/>
      <w:color w:val="000000"/>
      <w:sz w:val="24"/>
      <w:lang w:eastAsia="pt-BR"/>
    </w:rPr>
  </w:style>
  <w:style w:type="paragraph" w:customStyle="1" w:styleId="SUBITEM2">
    <w:name w:val="SUBITEM2"/>
    <w:basedOn w:val="Normal"/>
    <w:pPr>
      <w:widowControl w:val="0"/>
      <w:spacing w:before="180"/>
      <w:ind w:left="1418" w:hanging="851"/>
      <w:jc w:val="both"/>
    </w:pPr>
    <w:rPr>
      <w:rFonts w:ascii="Arial" w:eastAsia="Times New Roman" w:hAnsi="Arial"/>
      <w:szCs w:val="20"/>
      <w:lang w:val="pt-PT" w:eastAsia="pt-BR"/>
    </w:rPr>
  </w:style>
  <w:style w:type="paragraph" w:customStyle="1" w:styleId="A011770">
    <w:name w:val="_A011770"/>
    <w:pPr>
      <w:widowControl w:val="0"/>
      <w:ind w:left="2448" w:right="5328" w:hanging="2304"/>
      <w:jc w:val="both"/>
    </w:pPr>
    <w:rPr>
      <w:rFonts w:ascii="Times New Roman" w:eastAsia="Times New Roman" w:hAnsi="Times New Roman"/>
      <w:color w:val="000000"/>
      <w:sz w:val="24"/>
      <w:lang w:eastAsia="pt-BR"/>
    </w:rPr>
  </w:style>
  <w:style w:type="paragraph" w:customStyle="1" w:styleId="marc-1">
    <w:name w:val="marc-1"/>
    <w:basedOn w:val="Normal"/>
    <w:pPr>
      <w:keepLines/>
      <w:widowControl w:val="0"/>
      <w:tabs>
        <w:tab w:val="left" w:pos="8784"/>
      </w:tabs>
      <w:spacing w:before="120"/>
      <w:ind w:left="993" w:hanging="284"/>
      <w:jc w:val="both"/>
    </w:pPr>
    <w:rPr>
      <w:rFonts w:ascii="Arial" w:eastAsia="Times New Roman" w:hAnsi="Arial"/>
      <w:color w:val="000000"/>
      <w:sz w:val="24"/>
      <w:szCs w:val="20"/>
      <w:lang w:eastAsia="pt-BR"/>
    </w:rPr>
  </w:style>
  <w:style w:type="paragraph" w:customStyle="1" w:styleId="marc1">
    <w:name w:val="marc_1"/>
    <w:basedOn w:val="Normal"/>
    <w:pPr>
      <w:spacing w:before="180"/>
      <w:ind w:left="1134" w:hanging="431"/>
      <w:jc w:val="both"/>
    </w:pPr>
    <w:rPr>
      <w:rFonts w:ascii="Courier New" w:eastAsia="Times New Roman" w:hAnsi="Courier New"/>
      <w:sz w:val="24"/>
      <w:szCs w:val="20"/>
      <w:lang w:eastAsia="pt-BR"/>
    </w:rPr>
  </w:style>
  <w:style w:type="paragraph" w:customStyle="1" w:styleId="ITEM10">
    <w:name w:val="ITEM10"/>
    <w:pPr>
      <w:ind w:left="144" w:right="2736"/>
      <w:jc w:val="both"/>
    </w:pPr>
    <w:rPr>
      <w:rFonts w:ascii="Times New Roman" w:eastAsia="Times New Roman" w:hAnsi="Times New Roman"/>
      <w:color w:val="000000"/>
      <w:sz w:val="24"/>
      <w:lang w:eastAsia="pt-BR"/>
    </w:rPr>
  </w:style>
  <w:style w:type="paragraph" w:styleId="TextosemFormatao">
    <w:name w:val="Plain Text"/>
    <w:basedOn w:val="Normal"/>
    <w:link w:val="TextosemFormataoChar"/>
    <w:rPr>
      <w:rFonts w:ascii="Courier New" w:eastAsia="Times New Roman" w:hAnsi="Courier New"/>
      <w:sz w:val="20"/>
      <w:szCs w:val="20"/>
    </w:rPr>
  </w:style>
  <w:style w:type="character" w:customStyle="1" w:styleId="TextosemFormataoChar">
    <w:name w:val="Texto sem Formatação Char"/>
    <w:link w:val="TextosemFormatao"/>
    <w:rPr>
      <w:rFonts w:ascii="Courier New" w:eastAsia="Times New Roman" w:hAnsi="Courier New" w:cs="Times New Roman"/>
      <w:sz w:val="20"/>
      <w:szCs w:val="20"/>
    </w:rPr>
  </w:style>
  <w:style w:type="character" w:customStyle="1" w:styleId="HTMLMarkup">
    <w:name w:val="HTML Markup"/>
    <w:rPr>
      <w:vanish/>
      <w:color w:val="FF0000"/>
    </w:rPr>
  </w:style>
  <w:style w:type="paragraph" w:customStyle="1" w:styleId="H6">
    <w:name w:val="H6"/>
    <w:basedOn w:val="Normal"/>
    <w:next w:val="Normal"/>
    <w:pPr>
      <w:keepNext/>
      <w:widowControl w:val="0"/>
      <w:spacing w:before="100" w:after="100"/>
      <w:outlineLvl w:val="6"/>
    </w:pPr>
    <w:rPr>
      <w:rFonts w:ascii="Times New Roman" w:eastAsia="Times New Roman" w:hAnsi="Times New Roman"/>
      <w:b/>
      <w:snapToGrid w:val="0"/>
      <w:sz w:val="16"/>
      <w:szCs w:val="20"/>
      <w:lang w:eastAsia="pt-BR"/>
    </w:rPr>
  </w:style>
  <w:style w:type="paragraph" w:customStyle="1" w:styleId="DefinitionTerm">
    <w:name w:val="Definition Term"/>
    <w:basedOn w:val="Normal"/>
    <w:next w:val="DefinitionList"/>
    <w:pPr>
      <w:widowControl w:val="0"/>
    </w:pPr>
    <w:rPr>
      <w:rFonts w:ascii="Times New Roman" w:eastAsia="Times New Roman" w:hAnsi="Times New Roman"/>
      <w:snapToGrid w:val="0"/>
      <w:sz w:val="24"/>
      <w:szCs w:val="20"/>
      <w:lang w:eastAsia="pt-BR"/>
    </w:rPr>
  </w:style>
  <w:style w:type="paragraph" w:customStyle="1" w:styleId="DefinitionList">
    <w:name w:val="Definition List"/>
    <w:basedOn w:val="Normal"/>
    <w:next w:val="DefinitionTerm"/>
    <w:pPr>
      <w:widowControl w:val="0"/>
      <w:ind w:left="360"/>
    </w:pPr>
    <w:rPr>
      <w:rFonts w:ascii="Times New Roman" w:eastAsia="Times New Roman" w:hAnsi="Times New Roman"/>
      <w:snapToGrid w:val="0"/>
      <w:sz w:val="24"/>
      <w:szCs w:val="20"/>
      <w:lang w:eastAsia="pt-BR"/>
    </w:rPr>
  </w:style>
  <w:style w:type="character" w:customStyle="1" w:styleId="Definition">
    <w:name w:val="Definition"/>
    <w:rPr>
      <w:i/>
    </w:rPr>
  </w:style>
  <w:style w:type="paragraph" w:customStyle="1" w:styleId="H1">
    <w:name w:val="H1"/>
    <w:basedOn w:val="Normal"/>
    <w:next w:val="Normal"/>
    <w:pPr>
      <w:keepNext/>
      <w:widowControl w:val="0"/>
      <w:spacing w:before="100" w:after="100"/>
      <w:outlineLvl w:val="1"/>
    </w:pPr>
    <w:rPr>
      <w:rFonts w:ascii="Times New Roman" w:eastAsia="Times New Roman" w:hAnsi="Times New Roman"/>
      <w:b/>
      <w:snapToGrid w:val="0"/>
      <w:kern w:val="36"/>
      <w:sz w:val="48"/>
      <w:szCs w:val="20"/>
      <w:lang w:eastAsia="pt-BR"/>
    </w:rPr>
  </w:style>
  <w:style w:type="paragraph" w:customStyle="1" w:styleId="H2">
    <w:name w:val="H2"/>
    <w:basedOn w:val="Normal"/>
    <w:next w:val="Normal"/>
    <w:pPr>
      <w:keepNext/>
      <w:widowControl w:val="0"/>
      <w:spacing w:before="100" w:after="100"/>
      <w:outlineLvl w:val="2"/>
    </w:pPr>
    <w:rPr>
      <w:rFonts w:ascii="Times New Roman" w:eastAsia="Times New Roman" w:hAnsi="Times New Roman"/>
      <w:b/>
      <w:snapToGrid w:val="0"/>
      <w:sz w:val="36"/>
      <w:szCs w:val="20"/>
      <w:lang w:eastAsia="pt-BR"/>
    </w:rPr>
  </w:style>
  <w:style w:type="paragraph" w:customStyle="1" w:styleId="H3">
    <w:name w:val="H3"/>
    <w:basedOn w:val="Normal"/>
    <w:next w:val="Normal"/>
    <w:pPr>
      <w:keepNext/>
      <w:widowControl w:val="0"/>
      <w:spacing w:before="100" w:after="100"/>
      <w:outlineLvl w:val="3"/>
    </w:pPr>
    <w:rPr>
      <w:rFonts w:ascii="Times New Roman" w:eastAsia="Times New Roman" w:hAnsi="Times New Roman"/>
      <w:b/>
      <w:snapToGrid w:val="0"/>
      <w:sz w:val="28"/>
      <w:szCs w:val="20"/>
      <w:lang w:eastAsia="pt-BR"/>
    </w:rPr>
  </w:style>
  <w:style w:type="paragraph" w:customStyle="1" w:styleId="H4">
    <w:name w:val="H4"/>
    <w:basedOn w:val="Normal"/>
    <w:next w:val="Normal"/>
    <w:pPr>
      <w:keepNext/>
      <w:widowControl w:val="0"/>
      <w:spacing w:before="100" w:after="100"/>
      <w:outlineLvl w:val="4"/>
    </w:pPr>
    <w:rPr>
      <w:rFonts w:ascii="Times New Roman" w:eastAsia="Times New Roman" w:hAnsi="Times New Roman"/>
      <w:b/>
      <w:snapToGrid w:val="0"/>
      <w:sz w:val="24"/>
      <w:szCs w:val="20"/>
      <w:lang w:eastAsia="pt-BR"/>
    </w:rPr>
  </w:style>
  <w:style w:type="paragraph" w:customStyle="1" w:styleId="H5">
    <w:name w:val="H5"/>
    <w:basedOn w:val="Normal"/>
    <w:next w:val="Normal"/>
    <w:pPr>
      <w:keepNext/>
      <w:widowControl w:val="0"/>
      <w:spacing w:before="100" w:after="100"/>
      <w:outlineLvl w:val="5"/>
    </w:pPr>
    <w:rPr>
      <w:rFonts w:ascii="Times New Roman" w:eastAsia="Times New Roman" w:hAnsi="Times New Roman"/>
      <w:b/>
      <w:snapToGrid w:val="0"/>
      <w:sz w:val="20"/>
      <w:szCs w:val="20"/>
      <w:lang w:eastAsia="pt-BR"/>
    </w:rPr>
  </w:style>
  <w:style w:type="paragraph" w:customStyle="1" w:styleId="Address">
    <w:name w:val="Address"/>
    <w:basedOn w:val="Normal"/>
    <w:next w:val="Normal"/>
    <w:pPr>
      <w:widowControl w:val="0"/>
    </w:pPr>
    <w:rPr>
      <w:rFonts w:ascii="Times New Roman" w:eastAsia="Times New Roman" w:hAnsi="Times New Roman"/>
      <w:i/>
      <w:snapToGrid w:val="0"/>
      <w:sz w:val="24"/>
      <w:szCs w:val="20"/>
      <w:lang w:eastAsia="pt-BR"/>
    </w:rPr>
  </w:style>
  <w:style w:type="paragraph" w:customStyle="1" w:styleId="Blockquote">
    <w:name w:val="Blockquote"/>
    <w:basedOn w:val="Normal"/>
    <w:pPr>
      <w:widowControl w:val="0"/>
      <w:spacing w:before="100" w:after="100"/>
      <w:ind w:left="360" w:right="360"/>
    </w:pPr>
    <w:rPr>
      <w:rFonts w:ascii="Times New Roman" w:eastAsia="Times New Roman" w:hAnsi="Times New Roman"/>
      <w:snapToGrid w:val="0"/>
      <w:sz w:val="24"/>
      <w:szCs w:val="20"/>
      <w:lang w:eastAsia="pt-BR"/>
    </w:rPr>
  </w:style>
  <w:style w:type="character" w:customStyle="1" w:styleId="CITE">
    <w:name w:val="CITE"/>
    <w:rPr>
      <w:i/>
    </w:rPr>
  </w:style>
  <w:style w:type="character" w:customStyle="1" w:styleId="CODE">
    <w:name w:val="CODE"/>
    <w:rPr>
      <w:rFonts w:ascii="Courier New" w:hAnsi="Courier New"/>
      <w:sz w:val="20"/>
    </w:rPr>
  </w:style>
  <w:style w:type="character" w:customStyle="1" w:styleId="Keyboard">
    <w:name w:val="Keyboard"/>
    <w:rPr>
      <w:rFonts w:ascii="Courier New" w:hAnsi="Courier New"/>
      <w:b/>
      <w:sz w:val="20"/>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 w:val="20"/>
      <w:szCs w:val="20"/>
      <w:lang w:eastAsia="pt-BR"/>
    </w:rPr>
  </w:style>
  <w:style w:type="paragraph" w:customStyle="1" w:styleId="z-BottomofForm">
    <w:name w:val="z-Bottom of Form"/>
    <w:next w:val="Normal"/>
    <w:hidden/>
    <w:pPr>
      <w:widowControl w:val="0"/>
      <w:pBdr>
        <w:top w:val="double" w:sz="2" w:space="0" w:color="000000"/>
      </w:pBdr>
      <w:jc w:val="center"/>
    </w:pPr>
    <w:rPr>
      <w:rFonts w:ascii="Arial" w:eastAsia="Times New Roman" w:hAnsi="Arial"/>
      <w:snapToGrid w:val="0"/>
      <w:vanish/>
      <w:sz w:val="16"/>
      <w:lang w:eastAsia="pt-BR"/>
    </w:rPr>
  </w:style>
  <w:style w:type="paragraph" w:customStyle="1" w:styleId="z-TopofForm">
    <w:name w:val="z-Top of Form"/>
    <w:next w:val="Normal"/>
    <w:hidden/>
    <w:pPr>
      <w:widowControl w:val="0"/>
      <w:pBdr>
        <w:bottom w:val="double" w:sz="2" w:space="0" w:color="000000"/>
      </w:pBdr>
      <w:jc w:val="center"/>
    </w:pPr>
    <w:rPr>
      <w:rFonts w:ascii="Arial" w:eastAsia="Times New Roman" w:hAnsi="Arial"/>
      <w:snapToGrid w:val="0"/>
      <w:vanish/>
      <w:sz w:val="16"/>
      <w:lang w:eastAsia="pt-BR"/>
    </w:rPr>
  </w:style>
  <w:style w:type="character" w:customStyle="1" w:styleId="Sample">
    <w:name w:val="Sample"/>
    <w:rPr>
      <w:rFonts w:ascii="Courier New" w:hAnsi="Courier New"/>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Comment">
    <w:name w:val="Comment"/>
    <w:rPr>
      <w:vanish/>
    </w:rPr>
  </w:style>
  <w:style w:type="paragraph" w:customStyle="1" w:styleId="Corpodetexto31">
    <w:name w:val="Corpo de texto 31"/>
    <w:basedOn w:val="Normal"/>
    <w:uiPriority w:val="99"/>
    <w:pPr>
      <w:widowControl w:val="0"/>
      <w:suppressAutoHyphens/>
      <w:spacing w:before="240"/>
      <w:jc w:val="both"/>
    </w:pPr>
    <w:rPr>
      <w:rFonts w:ascii="Arial" w:eastAsia="Times New Roman" w:hAnsi="Arial"/>
      <w:sz w:val="24"/>
      <w:szCs w:val="20"/>
      <w:lang w:eastAsia="ar-SA"/>
    </w:rPr>
  </w:style>
  <w:style w:type="paragraph" w:customStyle="1" w:styleId="Recuodecorpodetexto21">
    <w:name w:val="Recuo de corpo de texto 21"/>
    <w:basedOn w:val="Normal"/>
    <w:pPr>
      <w:suppressAutoHyphens/>
      <w:ind w:left="3828"/>
      <w:jc w:val="both"/>
    </w:pPr>
    <w:rPr>
      <w:rFonts w:ascii="Arial" w:eastAsia="Times New Roman" w:hAnsi="Arial"/>
      <w:b/>
      <w:color w:val="000000"/>
      <w:szCs w:val="20"/>
      <w:lang w:eastAsia="ar-SA"/>
    </w:rPr>
  </w:style>
  <w:style w:type="paragraph" w:customStyle="1" w:styleId="Textoembloco1">
    <w:name w:val="Texto em bloco1"/>
    <w:basedOn w:val="Normal"/>
    <w:pPr>
      <w:suppressAutoHyphens/>
      <w:ind w:left="3402" w:right="23"/>
      <w:jc w:val="both"/>
    </w:pPr>
    <w:rPr>
      <w:rFonts w:ascii="Times New Roman" w:eastAsia="Times New Roman" w:hAnsi="Times New Roman"/>
      <w:b/>
      <w:szCs w:val="20"/>
      <w:lang w:eastAsia="ar-SA"/>
    </w:rPr>
  </w:style>
  <w:style w:type="paragraph" w:customStyle="1" w:styleId="p41">
    <w:name w:val="p41"/>
    <w:basedOn w:val="Normal"/>
    <w:pPr>
      <w:widowControl w:val="0"/>
      <w:tabs>
        <w:tab w:val="left" w:pos="660"/>
        <w:tab w:val="left" w:pos="1120"/>
      </w:tabs>
      <w:suppressAutoHyphens/>
      <w:spacing w:line="280" w:lineRule="atLeast"/>
      <w:ind w:left="1440" w:firstLine="720"/>
      <w:jc w:val="both"/>
    </w:pPr>
    <w:rPr>
      <w:rFonts w:ascii="Times New Roman" w:eastAsia="Times New Roman" w:hAnsi="Times New Roman"/>
      <w:sz w:val="24"/>
      <w:szCs w:val="20"/>
      <w:lang w:eastAsia="ar-SA"/>
    </w:rPr>
  </w:style>
  <w:style w:type="paragraph" w:customStyle="1" w:styleId="Recuodecorpodetexto31">
    <w:name w:val="Recuo de corpo de texto 31"/>
    <w:basedOn w:val="Normal"/>
    <w:pPr>
      <w:suppressAutoHyphens/>
      <w:spacing w:after="120"/>
      <w:ind w:left="283"/>
    </w:pPr>
    <w:rPr>
      <w:rFonts w:ascii="Times New Roman" w:eastAsia="Times New Roman" w:hAnsi="Times New Roman"/>
      <w:sz w:val="16"/>
      <w:szCs w:val="16"/>
    </w:rPr>
  </w:style>
  <w:style w:type="paragraph" w:customStyle="1" w:styleId="Corpodetexto211">
    <w:name w:val="Corpo de texto 211"/>
    <w:basedOn w:val="Normal"/>
    <w:uiPriority w:val="99"/>
    <w:pPr>
      <w:suppressAutoHyphens/>
      <w:spacing w:line="360" w:lineRule="auto"/>
      <w:jc w:val="both"/>
    </w:pPr>
    <w:rPr>
      <w:rFonts w:ascii="Courier New" w:eastAsia="Times New Roman" w:hAnsi="Courier New"/>
      <w:color w:val="000000"/>
      <w:szCs w:val="20"/>
    </w:rPr>
  </w:style>
  <w:style w:type="paragraph" w:customStyle="1" w:styleId="contrato">
    <w:name w:val="contrato"/>
    <w:basedOn w:val="Normal"/>
    <w:pPr>
      <w:jc w:val="both"/>
    </w:pPr>
    <w:rPr>
      <w:rFonts w:ascii="Arial" w:eastAsia="Times New Roman" w:hAnsi="Arial"/>
      <w:szCs w:val="20"/>
      <w:lang w:val="pt-PT" w:eastAsia="ar-SA"/>
    </w:rPr>
  </w:style>
  <w:style w:type="character" w:customStyle="1" w:styleId="consultalista1">
    <w:name w:val="consultalista1"/>
  </w:style>
  <w:style w:type="character" w:customStyle="1" w:styleId="pp-headline-item">
    <w:name w:val="pp-headline-item"/>
  </w:style>
  <w:style w:type="character" w:customStyle="1" w:styleId="telephone">
    <w:name w:val="telephone"/>
  </w:style>
  <w:style w:type="character" w:customStyle="1" w:styleId="pp-place-title">
    <w:name w:val="pp-place-title"/>
  </w:style>
  <w:style w:type="paragraph" w:customStyle="1" w:styleId="Standard">
    <w:name w:val="Standard"/>
    <w:pPr>
      <w:suppressAutoHyphens/>
      <w:autoSpaceDN w:val="0"/>
      <w:textAlignment w:val="baseline"/>
    </w:pPr>
    <w:rPr>
      <w:rFonts w:ascii="Times New Roman" w:eastAsia="Times New Roman" w:hAnsi="Times New Roman"/>
      <w:kern w:val="3"/>
      <w:sz w:val="24"/>
      <w:szCs w:val="24"/>
      <w:lang w:eastAsia="pt-BR"/>
    </w:rPr>
  </w:style>
  <w:style w:type="table" w:styleId="Tabelacomgrade">
    <w:name w:val="Table Grid"/>
    <w:basedOn w:val="Tabelanormal"/>
    <w:uiPriority w:val="39"/>
    <w:rPr>
      <w:rFonts w:ascii="Times New Roman" w:eastAsia="Times New Roman" w:hAnsi="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style>
  <w:style w:type="paragraph" w:customStyle="1" w:styleId="WW-ContedodaTabela11111111111111111111">
    <w:name w:val="WW-Conteúdo da Tabela11111111111111111111"/>
    <w:basedOn w:val="Corpodetexto"/>
    <w:pPr>
      <w:suppressLineNumbers/>
      <w:suppressAutoHyphens/>
    </w:pPr>
    <w:rPr>
      <w:rFonts w:ascii="Times New Roman" w:hAnsi="Times New Roman"/>
      <w:b/>
      <w:sz w:val="24"/>
      <w:lang w:eastAsia="ar-SA"/>
    </w:rPr>
  </w:style>
  <w:style w:type="paragraph" w:customStyle="1" w:styleId="WW-ContedodaTabela1111111111111111111">
    <w:name w:val="WW-Conteúdo da Tabela1111111111111111111"/>
    <w:basedOn w:val="Corpodetexto"/>
    <w:pPr>
      <w:suppressLineNumbers/>
      <w:suppressAutoHyphens/>
    </w:pPr>
    <w:rPr>
      <w:rFonts w:ascii="Times New Roman" w:hAnsi="Times New Roman"/>
      <w:b/>
      <w:sz w:val="24"/>
      <w:lang w:eastAsia="ar-SA"/>
    </w:rPr>
  </w:style>
  <w:style w:type="paragraph" w:customStyle="1" w:styleId="PORTUGUES">
    <w:name w:val="PORTUGUES"/>
    <w:basedOn w:val="Normal"/>
    <w:uiPriority w:val="99"/>
    <w:pPr>
      <w:widowControl w:val="0"/>
      <w:suppressAutoHyphens/>
    </w:pPr>
    <w:rPr>
      <w:rFonts w:ascii="Arial" w:eastAsia="Times New Roman" w:hAnsi="Arial" w:cs="Arial"/>
      <w:b/>
      <w:bCs/>
      <w:sz w:val="24"/>
      <w:szCs w:val="24"/>
      <w:lang w:eastAsia="ar-SA"/>
    </w:rPr>
  </w:style>
  <w:style w:type="paragraph" w:styleId="Subttulo">
    <w:name w:val="Subtitle"/>
    <w:basedOn w:val="Normal"/>
    <w:next w:val="Corpodetexto"/>
    <w:link w:val="SubttuloChar"/>
    <w:qFormat/>
    <w:pPr>
      <w:keepNext/>
      <w:suppressAutoHyphens/>
      <w:spacing w:before="240" w:after="120"/>
      <w:jc w:val="center"/>
    </w:pPr>
    <w:rPr>
      <w:rFonts w:ascii="Arial" w:hAnsi="Arial"/>
      <w:i/>
      <w:iCs/>
      <w:sz w:val="28"/>
      <w:szCs w:val="28"/>
      <w:lang w:eastAsia="ar-SA"/>
    </w:rPr>
  </w:style>
  <w:style w:type="character" w:customStyle="1" w:styleId="SubttuloChar">
    <w:name w:val="Subtítulo Char"/>
    <w:link w:val="Subttulo"/>
    <w:uiPriority w:val="99"/>
    <w:rPr>
      <w:rFonts w:ascii="Arial" w:eastAsia="Calibri" w:hAnsi="Arial" w:cs="Times New Roman"/>
      <w:i/>
      <w:iCs/>
      <w:sz w:val="28"/>
      <w:szCs w:val="28"/>
      <w:lang w:eastAsia="ar-SA"/>
    </w:rPr>
  </w:style>
  <w:style w:type="paragraph" w:customStyle="1" w:styleId="Normal1">
    <w:name w:val="Normal1"/>
    <w:basedOn w:val="Normal"/>
    <w:pPr>
      <w:widowControl w:val="0"/>
      <w:suppressAutoHyphens/>
      <w:autoSpaceDE w:val="0"/>
    </w:pPr>
    <w:rPr>
      <w:rFonts w:ascii="Verdana-Bold" w:hAnsi="Verdana-Bold" w:cs="Verdana-Bold"/>
      <w:sz w:val="20"/>
      <w:szCs w:val="20"/>
      <w:lang w:eastAsia="ar-SA"/>
    </w:rPr>
  </w:style>
  <w:style w:type="paragraph" w:customStyle="1" w:styleId="Corpodetexto22">
    <w:name w:val="Corpo de texto 22"/>
    <w:basedOn w:val="Normal"/>
    <w:uiPriority w:val="99"/>
    <w:pPr>
      <w:ind w:hanging="1134"/>
      <w:jc w:val="both"/>
    </w:pPr>
    <w:rPr>
      <w:rFonts w:ascii="Arial" w:eastAsia="Times New Roman" w:hAnsi="Arial" w:cs="Arial"/>
      <w:kern w:val="1"/>
      <w:sz w:val="20"/>
      <w:szCs w:val="20"/>
      <w:lang w:eastAsia="ar-SA"/>
    </w:rPr>
  </w:style>
  <w:style w:type="paragraph" w:customStyle="1" w:styleId="WW-Default">
    <w:name w:val="WW-Default"/>
    <w:basedOn w:val="Normal"/>
    <w:uiPriority w:val="99"/>
    <w:pPr>
      <w:widowControl w:val="0"/>
      <w:suppressAutoHyphens/>
      <w:autoSpaceDE w:val="0"/>
    </w:pPr>
    <w:rPr>
      <w:rFonts w:ascii="Verdana-Bold" w:eastAsia="Times New Roman" w:hAnsi="Verdana-Bold" w:cs="Verdana-Bold"/>
      <w:kern w:val="1"/>
      <w:sz w:val="20"/>
      <w:szCs w:val="20"/>
      <w:lang w:eastAsia="ar-SA"/>
    </w:rPr>
  </w:style>
  <w:style w:type="character" w:styleId="HiperlinkVisitado">
    <w:name w:val="FollowedHyperlink"/>
    <w:uiPriority w:val="99"/>
    <w:semiHidden/>
    <w:unhideWhenUsed/>
    <w:rPr>
      <w:color w:val="800080"/>
      <w:u w:val="single"/>
    </w:rPr>
  </w:style>
  <w:style w:type="paragraph" w:customStyle="1" w:styleId="msonormal0">
    <w:name w:val="msonormal"/>
    <w:basedOn w:val="Normal"/>
    <w:pPr>
      <w:spacing w:before="100" w:beforeAutospacing="1" w:after="100" w:afterAutospacing="1"/>
    </w:pPr>
    <w:rPr>
      <w:rFonts w:ascii="Times New Roman" w:eastAsia="Times New Roman" w:hAnsi="Times New Roman"/>
      <w:sz w:val="24"/>
      <w:szCs w:val="24"/>
      <w:lang w:eastAsia="pt-BR"/>
    </w:rPr>
  </w:style>
  <w:style w:type="character" w:customStyle="1" w:styleId="CabealhoChar1">
    <w:name w:val="Cabeçalho Char1"/>
    <w:aliases w:val="encabezado Char1,hd Char1,he Char1"/>
    <w:uiPriority w:val="99"/>
    <w:semiHidden/>
    <w:rPr>
      <w:rFonts w:ascii="Calibri" w:eastAsia="Calibri" w:hAnsi="Calibri" w:cs="Times New Roman"/>
      <w:sz w:val="22"/>
      <w:szCs w:val="22"/>
      <w:lang w:val="en-US" w:eastAsia="en-US"/>
    </w:rPr>
  </w:style>
  <w:style w:type="paragraph" w:customStyle="1" w:styleId="TableParagraph">
    <w:name w:val="Table Paragraph"/>
    <w:basedOn w:val="Normal"/>
    <w:uiPriority w:val="1"/>
    <w:qFormat/>
    <w:pPr>
      <w:widowControl w:val="0"/>
    </w:pPr>
    <w:rPr>
      <w:lang w:val="en-US"/>
    </w:rPr>
  </w:style>
  <w:style w:type="paragraph" w:customStyle="1" w:styleId="Item111">
    <w:name w:val="Item 1.1.1"/>
    <w:basedOn w:val="Normal"/>
    <w:uiPriority w:val="99"/>
    <w:pPr>
      <w:widowControl w:val="0"/>
      <w:tabs>
        <w:tab w:val="left" w:pos="2127"/>
        <w:tab w:val="left" w:pos="3119"/>
      </w:tabs>
      <w:autoSpaceDE w:val="0"/>
      <w:spacing w:before="120"/>
      <w:jc w:val="both"/>
    </w:pPr>
    <w:rPr>
      <w:rFonts w:ascii="Arial" w:eastAsia="Times New Roman" w:hAnsi="Arial"/>
      <w:szCs w:val="20"/>
      <w:lang w:eastAsia="ar-SA"/>
    </w:rPr>
  </w:style>
  <w:style w:type="paragraph" w:customStyle="1" w:styleId="textbody">
    <w:name w:val="textbody"/>
    <w:basedOn w:val="Normal"/>
    <w:pPr>
      <w:spacing w:before="100" w:beforeAutospacing="1" w:after="100" w:afterAutospacing="1"/>
    </w:pPr>
    <w:rPr>
      <w:rFonts w:ascii="Times New Roman" w:eastAsia="Times New Roman" w:hAnsi="Times New Roman"/>
      <w:sz w:val="24"/>
      <w:szCs w:val="24"/>
      <w:lang w:eastAsia="pt-BR"/>
    </w:rPr>
  </w:style>
  <w:style w:type="paragraph" w:customStyle="1" w:styleId="Cabealhoencabezado">
    <w:name w:val="Cabeçalho.encabezado"/>
    <w:basedOn w:val="Normal"/>
    <w:pPr>
      <w:tabs>
        <w:tab w:val="center" w:pos="4419"/>
        <w:tab w:val="right" w:pos="8838"/>
      </w:tabs>
      <w:suppressAutoHyphens/>
    </w:pPr>
    <w:rPr>
      <w:rFonts w:ascii="Arial" w:eastAsia="Times New Roman" w:hAnsi="Arial"/>
      <w:sz w:val="24"/>
      <w:szCs w:val="20"/>
      <w:lang w:eastAsia="ar-SA"/>
    </w:rPr>
  </w:style>
  <w:style w:type="paragraph" w:customStyle="1" w:styleId="NormalCourierNew">
    <w:name w:val="Normal + Courier New"/>
    <w:aliases w:val="Justificado,À direita:  -0,96 cm"/>
    <w:basedOn w:val="Normal"/>
    <w:uiPriority w:val="99"/>
    <w:pPr>
      <w:numPr>
        <w:numId w:val="2"/>
      </w:numPr>
      <w:suppressAutoHyphens/>
      <w:ind w:right="-547"/>
      <w:jc w:val="both"/>
    </w:pPr>
    <w:rPr>
      <w:rFonts w:ascii="Courier New" w:eastAsia="Times New Roman" w:hAnsi="Courier New" w:cs="Courier New"/>
      <w:sz w:val="20"/>
      <w:szCs w:val="20"/>
      <w:lang w:eastAsia="ar-SA"/>
    </w:rPr>
  </w:style>
  <w:style w:type="character" w:customStyle="1" w:styleId="style381">
    <w:name w:val="style381"/>
    <w:rPr>
      <w:sz w:val="14"/>
      <w:szCs w:val="14"/>
    </w:rPr>
  </w:style>
  <w:style w:type="character" w:customStyle="1" w:styleId="headsmall">
    <w:name w:val="headsmall"/>
    <w:basedOn w:val="Fontepargpadro"/>
  </w:style>
  <w:style w:type="table" w:customStyle="1" w:styleId="TableNormal">
    <w:name w:val="Table Normal"/>
    <w:uiPriority w:val="2"/>
    <w:qFormat/>
    <w:pPr>
      <w:widowControl w:val="0"/>
    </w:pPr>
    <w:rPr>
      <w:sz w:val="22"/>
      <w:szCs w:val="22"/>
      <w:lang w:val="en-US" w:eastAsia="en-US"/>
    </w:rPr>
    <w:tblPr>
      <w:tblCellMar>
        <w:top w:w="0" w:type="dxa"/>
        <w:left w:w="0" w:type="dxa"/>
        <w:bottom w:w="0" w:type="dxa"/>
        <w:right w:w="0" w:type="dxa"/>
      </w:tblCellMar>
    </w:tblPr>
  </w:style>
  <w:style w:type="character" w:customStyle="1" w:styleId="MenoPendente1">
    <w:name w:val="Menção Pendente1"/>
    <w:uiPriority w:val="99"/>
    <w:semiHidden/>
    <w:unhideWhenUsed/>
    <w:rPr>
      <w:color w:val="605E5C"/>
      <w:shd w:val="clear" w:color="auto" w:fill="E1DFDD"/>
    </w:rPr>
  </w:style>
  <w:style w:type="paragraph" w:customStyle="1" w:styleId="PADRAO">
    <w:name w:val="PADRAO"/>
    <w:basedOn w:val="Normal"/>
    <w:pPr>
      <w:suppressAutoHyphens/>
      <w:jc w:val="both"/>
    </w:pPr>
    <w:rPr>
      <w:rFonts w:ascii="Tms Rmn" w:eastAsia="Times New Roman" w:hAnsi="Tms Rmn"/>
      <w:sz w:val="24"/>
      <w:szCs w:val="20"/>
      <w:lang w:eastAsia="ar-SA"/>
    </w:rPr>
  </w:style>
  <w:style w:type="character" w:styleId="Refdecomentrio">
    <w:name w:val="annotation reference"/>
    <w:uiPriority w:val="99"/>
    <w:qFormat/>
    <w:rPr>
      <w:sz w:val="16"/>
      <w:szCs w:val="16"/>
    </w:rPr>
  </w:style>
  <w:style w:type="paragraph" w:styleId="Textodecomentrio">
    <w:name w:val="annotation text"/>
    <w:basedOn w:val="Normal"/>
    <w:link w:val="TextodecomentrioChar"/>
    <w:uiPriority w:val="99"/>
    <w:qFormat/>
    <w:rPr>
      <w:rFonts w:ascii="Times New Roman" w:eastAsia="Times New Roman" w:hAnsi="Times New Roman"/>
      <w:sz w:val="20"/>
      <w:szCs w:val="20"/>
      <w:lang w:eastAsia="pt-BR"/>
    </w:rPr>
  </w:style>
  <w:style w:type="character" w:customStyle="1" w:styleId="TextodecomentrioChar">
    <w:name w:val="Texto de comentário Char"/>
    <w:link w:val="Textodecomentrio"/>
    <w:uiPriority w:val="99"/>
    <w:qFormat/>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Pr>
      <w:b/>
      <w:bCs/>
    </w:rPr>
  </w:style>
  <w:style w:type="character" w:customStyle="1" w:styleId="AssuntodocomentrioChar">
    <w:name w:val="Assunto do comentário Char"/>
    <w:link w:val="Assuntodocomentrio"/>
    <w:rPr>
      <w:rFonts w:ascii="Times New Roman" w:eastAsia="Times New Roman" w:hAnsi="Times New Roman" w:cs="Times New Roman"/>
      <w:b/>
      <w:bCs/>
      <w:sz w:val="20"/>
      <w:szCs w:val="20"/>
      <w:lang w:eastAsia="pt-BR"/>
    </w:rPr>
  </w:style>
  <w:style w:type="paragraph" w:customStyle="1" w:styleId="xl27">
    <w:name w:val="xl27"/>
    <w:basedOn w:val="Normal"/>
    <w:pPr>
      <w:spacing w:before="100" w:beforeAutospacing="1" w:after="100" w:afterAutospacing="1"/>
      <w:jc w:val="center"/>
    </w:pPr>
    <w:rPr>
      <w:rFonts w:ascii="Arial" w:eastAsia="Arial Unicode MS" w:hAnsi="Arial"/>
      <w:sz w:val="24"/>
      <w:szCs w:val="24"/>
      <w:lang w:eastAsia="pt-BR"/>
    </w:rPr>
  </w:style>
  <w:style w:type="paragraph" w:styleId="CitaoIntensa">
    <w:name w:val="Intense Quote"/>
    <w:basedOn w:val="Normal"/>
    <w:next w:val="Normal"/>
    <w:link w:val="CitaoIntensaChar"/>
    <w:uiPriority w:val="30"/>
    <w:qFormat/>
    <w:pPr>
      <w:pBdr>
        <w:bottom w:val="single" w:sz="4" w:space="4" w:color="4F81BD"/>
      </w:pBdr>
      <w:spacing w:before="200" w:after="280"/>
      <w:ind w:left="936" w:right="936"/>
    </w:pPr>
    <w:rPr>
      <w:rFonts w:ascii="Times New Roman" w:eastAsia="Times New Roman" w:hAnsi="Times New Roman"/>
      <w:b/>
      <w:bCs/>
      <w:i/>
      <w:iCs/>
      <w:color w:val="4F81BD"/>
      <w:sz w:val="20"/>
      <w:szCs w:val="20"/>
    </w:rPr>
  </w:style>
  <w:style w:type="character" w:customStyle="1" w:styleId="CitaoIntensaChar">
    <w:name w:val="Citação Intensa Char"/>
    <w:link w:val="CitaoIntensa"/>
    <w:uiPriority w:val="30"/>
    <w:rPr>
      <w:rFonts w:ascii="Times New Roman" w:eastAsia="Times New Roman" w:hAnsi="Times New Roman" w:cs="Times New Roman"/>
      <w:b/>
      <w:bCs/>
      <w:i/>
      <w:iCs/>
      <w:color w:val="4F81BD"/>
      <w:sz w:val="20"/>
      <w:szCs w:val="20"/>
    </w:rPr>
  </w:style>
  <w:style w:type="paragraph" w:customStyle="1" w:styleId="font5">
    <w:name w:val="font5"/>
    <w:basedOn w:val="Normal"/>
    <w:pPr>
      <w:spacing w:before="100" w:beforeAutospacing="1" w:after="100" w:afterAutospacing="1"/>
    </w:pPr>
    <w:rPr>
      <w:rFonts w:eastAsia="Times New Roman"/>
      <w:color w:val="000000"/>
      <w:sz w:val="18"/>
      <w:szCs w:val="18"/>
      <w:lang w:eastAsia="pt-BR"/>
    </w:rPr>
  </w:style>
  <w:style w:type="paragraph" w:customStyle="1" w:styleId="font6">
    <w:name w:val="font6"/>
    <w:basedOn w:val="Normal"/>
    <w:pPr>
      <w:spacing w:before="100" w:beforeAutospacing="1" w:after="100" w:afterAutospacing="1"/>
    </w:pPr>
    <w:rPr>
      <w:rFonts w:eastAsia="Times New Roman"/>
      <w:color w:val="000000"/>
      <w:sz w:val="18"/>
      <w:szCs w:val="18"/>
      <w:lang w:eastAsia="pt-BR"/>
    </w:rPr>
  </w:style>
  <w:style w:type="paragraph" w:customStyle="1" w:styleId="xl63">
    <w:name w:val="xl63"/>
    <w:basedOn w:val="Normal"/>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64">
    <w:name w:val="xl64"/>
    <w:basedOn w:val="Normal"/>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65">
    <w:name w:val="xl65"/>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66">
    <w:name w:val="xl66"/>
    <w:basedOn w:val="Normal"/>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18"/>
      <w:szCs w:val="18"/>
      <w:lang w:eastAsia="pt-BR"/>
    </w:rPr>
  </w:style>
  <w:style w:type="paragraph" w:customStyle="1" w:styleId="xl67">
    <w:name w:val="xl67"/>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68">
    <w:name w:val="xl68"/>
    <w:basedOn w:val="Normal"/>
    <w:pPr>
      <w:pBdr>
        <w:bottom w:val="single" w:sz="8" w:space="0" w:color="auto"/>
        <w:right w:val="single" w:sz="8" w:space="0" w:color="auto"/>
      </w:pBdr>
      <w:shd w:val="clear" w:color="000000" w:fill="FFFFFF"/>
      <w:spacing w:before="100" w:beforeAutospacing="1" w:after="100" w:afterAutospacing="1"/>
      <w:jc w:val="both"/>
      <w:textAlignment w:val="center"/>
    </w:pPr>
    <w:rPr>
      <w:rFonts w:ascii="Times New Roman" w:eastAsia="Times New Roman" w:hAnsi="Times New Roman"/>
      <w:color w:val="000000"/>
      <w:sz w:val="18"/>
      <w:szCs w:val="18"/>
      <w:lang w:eastAsia="pt-BR"/>
    </w:rPr>
  </w:style>
  <w:style w:type="paragraph" w:customStyle="1" w:styleId="xl69">
    <w:name w:val="xl69"/>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lang w:eastAsia="pt-BR"/>
    </w:rPr>
  </w:style>
  <w:style w:type="paragraph" w:customStyle="1" w:styleId="xl70">
    <w:name w:val="xl70"/>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FF0000"/>
      <w:sz w:val="18"/>
      <w:szCs w:val="18"/>
      <w:lang w:eastAsia="pt-BR"/>
    </w:rPr>
  </w:style>
  <w:style w:type="paragraph" w:customStyle="1" w:styleId="xl71">
    <w:name w:val="xl71"/>
    <w:basedOn w:val="Normal"/>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2">
    <w:name w:val="xl72"/>
    <w:basedOn w:val="Normal"/>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3">
    <w:name w:val="xl73"/>
    <w:basedOn w:val="Normal"/>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4">
    <w:name w:val="xl74"/>
    <w:basedOn w:val="Normal"/>
    <w:pPr>
      <w:pBdr>
        <w:top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5">
    <w:name w:val="xl75"/>
    <w:basedOn w:val="Normal"/>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paragraph" w:customStyle="1" w:styleId="xl76">
    <w:name w:val="xl76"/>
    <w:basedOn w:val="Normal"/>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8"/>
      <w:szCs w:val="18"/>
      <w:lang w:eastAsia="pt-BR"/>
    </w:rPr>
  </w:style>
  <w:style w:type="character" w:customStyle="1" w:styleId="MenoPendente2">
    <w:name w:val="Menção Pendente2"/>
    <w:uiPriority w:val="99"/>
    <w:semiHidden/>
    <w:unhideWhenUsed/>
    <w:rPr>
      <w:color w:val="605E5C"/>
      <w:shd w:val="clear" w:color="auto" w:fill="E1DFDD"/>
    </w:rPr>
  </w:style>
  <w:style w:type="paragraph" w:customStyle="1" w:styleId="Pregaoquadromiolo">
    <w:name w:val="Pregao quadro miolo"/>
    <w:basedOn w:val="Normal"/>
    <w:pPr>
      <w:spacing w:line="260" w:lineRule="exact"/>
    </w:pPr>
    <w:rPr>
      <w:rFonts w:ascii="Arial" w:eastAsia="Times New Roman" w:hAnsi="Arial" w:cs="Arial"/>
      <w:sz w:val="20"/>
      <w:szCs w:val="24"/>
      <w:lang w:eastAsia="pt-BR"/>
    </w:rPr>
  </w:style>
  <w:style w:type="character" w:customStyle="1" w:styleId="SemEspaamentoChar">
    <w:name w:val="Sem Espaçamento Char"/>
    <w:link w:val="SemEspaamento"/>
    <w:uiPriority w:val="1"/>
    <w:rPr>
      <w:rFonts w:ascii="Calibri" w:eastAsia="Times New Roman" w:hAnsi="Calibri" w:cs="Times New Roma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Wingdings" w:hAnsi="Wingdings" w:cs="Symbol"/>
      <w:sz w:val="18"/>
      <w:szCs w:val="18"/>
    </w:rPr>
  </w:style>
  <w:style w:type="character" w:customStyle="1" w:styleId="WW8Num4z1">
    <w:name w:val="WW8Num4z1"/>
    <w:rPr>
      <w:rFonts w:ascii="Wingdings 2" w:hAnsi="Wingdings 2" w:cs="Courier New"/>
    </w:rPr>
  </w:style>
  <w:style w:type="character" w:customStyle="1" w:styleId="WW8Num4z2">
    <w:name w:val="WW8Num4z2"/>
    <w:rPr>
      <w:rFonts w:ascii="OpenSymbol" w:hAnsi="OpenSymbol" w:cs="Wingdings"/>
    </w:rPr>
  </w:style>
  <w:style w:type="character" w:customStyle="1" w:styleId="WW8Num5z0">
    <w:name w:val="WW8Num5z0"/>
    <w:rPr>
      <w:rFonts w:ascii="Arial" w:hAnsi="Arial" w:cs="Symbol"/>
      <w:color w:val="222222"/>
      <w:lang w:val="en-US"/>
    </w:rPr>
  </w:style>
  <w:style w:type="character" w:customStyle="1" w:styleId="WW8Num5z1">
    <w:name w:val="WW8Num5z1"/>
    <w:rPr>
      <w:rFonts w:ascii="Arial" w:hAnsi="Arial" w:cs="Courier New"/>
      <w:color w:val="222222"/>
      <w:lang w:val="en-US"/>
    </w:rPr>
  </w:style>
  <w:style w:type="character" w:customStyle="1" w:styleId="WW8Num5z3">
    <w:name w:val="WW8Num5z3"/>
    <w:rPr>
      <w:rFonts w:ascii="Arial" w:hAnsi="Arial" w:cs="Arial"/>
      <w:b/>
      <w:i w:val="0"/>
      <w:color w:val="000000"/>
      <w:position w:val="0"/>
      <w:sz w:val="24"/>
      <w:vertAlign w:val="baseline"/>
    </w:rPr>
  </w:style>
  <w:style w:type="character" w:customStyle="1" w:styleId="WW8Num5z4">
    <w:name w:val="WW8Num5z4"/>
    <w:rPr>
      <w:rFonts w:ascii="Arial" w:hAnsi="Arial" w:cs="Arial"/>
      <w:position w:val="0"/>
      <w:sz w:val="18"/>
      <w:vertAlign w:val="baseline"/>
    </w:rPr>
  </w:style>
  <w:style w:type="character" w:customStyle="1" w:styleId="WW8Num6z0">
    <w:name w:val="WW8Num6z0"/>
    <w:rPr>
      <w:rFonts w:ascii="Wingdings" w:hAnsi="Wingdings" w:cs="Wingdings"/>
      <w:color w:val="222222"/>
    </w:rPr>
  </w:style>
  <w:style w:type="character" w:customStyle="1" w:styleId="WW8Num6z1">
    <w:name w:val="WW8Num6z1"/>
    <w:rPr>
      <w:rFonts w:ascii="Wingdings 2" w:hAnsi="Wingdings 2" w:cs="Wingdings 2"/>
    </w:rPr>
  </w:style>
  <w:style w:type="character" w:customStyle="1" w:styleId="WW8Num6z2">
    <w:name w:val="WW8Num6z2"/>
    <w:rPr>
      <w:rFonts w:ascii="OpenSymbol" w:hAnsi="OpenSymbol" w:cs="OpenSymbol"/>
    </w:rPr>
  </w:style>
  <w:style w:type="character" w:customStyle="1" w:styleId="WW8Num7z0">
    <w:name w:val="WW8Num7z0"/>
    <w:rPr>
      <w:rFonts w:ascii="Arial" w:hAnsi="Arial" w:cs="Symbol"/>
      <w:color w:val="auto"/>
    </w:rPr>
  </w:style>
  <w:style w:type="character" w:customStyle="1" w:styleId="WW8Num7z1">
    <w:name w:val="WW8Num7z1"/>
    <w:rPr>
      <w:rFonts w:ascii="Wingdings" w:hAnsi="Wingdings"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Absatz-Standardschriftart111">
    <w:name w:val="WW-Absatz-Standardschriftart111"/>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Fontepargpadro2">
    <w:name w:val="Fonte parág. padrão2"/>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8Num4z3">
    <w:name w:val="WW8Num4z3"/>
    <w:rPr>
      <w:rFonts w:ascii="Symbol" w:hAnsi="Symbol" w:cs="Symbol"/>
    </w:rPr>
  </w:style>
  <w:style w:type="character" w:customStyle="1" w:styleId="WW8Num6z3">
    <w:name w:val="WW8Num6z3"/>
    <w:rPr>
      <w:rFonts w:ascii="Symbol" w:hAnsi="Symbol" w:cs="Symbol"/>
    </w:rPr>
  </w:style>
  <w:style w:type="character" w:customStyle="1" w:styleId="Fontepargpadro1">
    <w:name w:val="Fonte parág. padrão1"/>
  </w:style>
  <w:style w:type="character" w:customStyle="1" w:styleId="Smbolosdenumerao">
    <w:name w:val="Símbolos de numeração"/>
  </w:style>
  <w:style w:type="character" w:customStyle="1" w:styleId="WW8Num7z2">
    <w:name w:val="WW8Num7z2"/>
    <w:rPr>
      <w:rFonts w:ascii="OpenSymbol" w:hAnsi="OpenSymbol" w:cs="OpenSymbol"/>
    </w:rPr>
  </w:style>
  <w:style w:type="paragraph" w:customStyle="1" w:styleId="Ttulo10">
    <w:name w:val="Título1"/>
    <w:basedOn w:val="Normal"/>
    <w:next w:val="Corpodetexto"/>
    <w:pPr>
      <w:keepNext/>
      <w:suppressAutoHyphens/>
      <w:spacing w:before="240" w:after="120"/>
    </w:pPr>
    <w:rPr>
      <w:rFonts w:ascii="Arial" w:eastAsia="Lucida Sans Unicode" w:hAnsi="Arial" w:cs="Tahoma"/>
      <w:sz w:val="28"/>
      <w:szCs w:val="28"/>
      <w:lang w:eastAsia="ar-SA"/>
    </w:rPr>
  </w:style>
  <w:style w:type="paragraph" w:styleId="Legenda">
    <w:name w:val="caption"/>
    <w:basedOn w:val="Normal"/>
    <w:qFormat/>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pPr>
      <w:suppressLineNumbers/>
      <w:suppressAutoHyphens/>
    </w:pPr>
    <w:rPr>
      <w:rFonts w:ascii="Times New Roman" w:eastAsia="Times New Roman" w:hAnsi="Times New Roman" w:cs="Tahoma"/>
      <w:sz w:val="20"/>
      <w:szCs w:val="20"/>
      <w:lang w:eastAsia="ar-SA"/>
    </w:rPr>
  </w:style>
  <w:style w:type="paragraph" w:customStyle="1" w:styleId="Captulo">
    <w:name w:val="Capítulo"/>
    <w:basedOn w:val="Normal"/>
    <w:next w:val="Corpodetexto"/>
    <w:pPr>
      <w:keepNext/>
      <w:suppressAutoHyphens/>
      <w:spacing w:before="240" w:after="120"/>
    </w:pPr>
    <w:rPr>
      <w:rFonts w:ascii="Arial" w:eastAsia="Lucida Sans Unicode" w:hAnsi="Arial" w:cs="Tahoma"/>
      <w:sz w:val="28"/>
      <w:szCs w:val="28"/>
      <w:lang w:eastAsia="ar-SA"/>
    </w:rPr>
  </w:style>
  <w:style w:type="paragraph" w:customStyle="1" w:styleId="WW-Ttulo">
    <w:name w:val="WW-Título"/>
    <w:basedOn w:val="Normal"/>
    <w:next w:val="Corpodetexto"/>
    <w:pPr>
      <w:keepNext/>
      <w:suppressAutoHyphens/>
      <w:spacing w:before="240" w:after="120"/>
    </w:pPr>
    <w:rPr>
      <w:rFonts w:ascii="Arial" w:eastAsia="Arial Unicode MS" w:hAnsi="Arial" w:cs="Mangal"/>
      <w:sz w:val="28"/>
      <w:szCs w:val="28"/>
      <w:lang w:eastAsia="ar-SA"/>
    </w:rPr>
  </w:style>
  <w:style w:type="paragraph" w:customStyle="1" w:styleId="Legenda1">
    <w:name w:val="Legenda1"/>
    <w:basedOn w:val="Normal"/>
    <w:next w:val="Normal"/>
    <w:pPr>
      <w:suppressAutoHyphens/>
      <w:jc w:val="center"/>
    </w:pPr>
    <w:rPr>
      <w:rFonts w:ascii="Arial" w:eastAsia="Times New Roman" w:hAnsi="Arial" w:cs="Arial"/>
      <w:sz w:val="28"/>
      <w:szCs w:val="20"/>
      <w:lang w:eastAsia="ar-SA"/>
    </w:rPr>
  </w:style>
  <w:style w:type="paragraph" w:customStyle="1" w:styleId="Contedodetabela">
    <w:name w:val="Conteúdo de tabela"/>
    <w:basedOn w:val="Normal"/>
    <w:pPr>
      <w:suppressLineNumbers/>
      <w:suppressAutoHyphens/>
    </w:pPr>
    <w:rPr>
      <w:rFonts w:ascii="Times New Roman" w:eastAsia="Times New Roman" w:hAnsi="Times New Roman"/>
      <w:sz w:val="20"/>
      <w:szCs w:val="20"/>
      <w:lang w:eastAsia="ar-SA"/>
    </w:rPr>
  </w:style>
  <w:style w:type="paragraph" w:customStyle="1" w:styleId="Ttulodetabela">
    <w:name w:val="Título de tabela"/>
    <w:basedOn w:val="Contedodetabela"/>
    <w:pPr>
      <w:jc w:val="center"/>
    </w:pPr>
    <w:rPr>
      <w:b/>
      <w:bCs/>
    </w:rPr>
  </w:style>
  <w:style w:type="paragraph" w:customStyle="1" w:styleId="WW-ContedodaTabela111111">
    <w:name w:val="WW-Conteúdo da Tabela111111"/>
    <w:basedOn w:val="Corpodetexto"/>
    <w:pPr>
      <w:suppressLineNumbers/>
      <w:suppressAutoHyphens/>
    </w:pPr>
    <w:rPr>
      <w:rFonts w:cs="Arial"/>
      <w:sz w:val="24"/>
      <w:lang w:eastAsia="ar-SA"/>
    </w:rPr>
  </w:style>
  <w:style w:type="paragraph" w:customStyle="1" w:styleId="reservado3">
    <w:name w:val="reservado3"/>
    <w:basedOn w:val="Normal"/>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overflowPunct w:val="0"/>
      <w:autoSpaceDE w:val="0"/>
      <w:autoSpaceDN w:val="0"/>
      <w:adjustRightInd w:val="0"/>
      <w:jc w:val="both"/>
      <w:textAlignment w:val="baseline"/>
    </w:pPr>
    <w:rPr>
      <w:rFonts w:ascii="Arial" w:eastAsia="Times New Roman" w:hAnsi="Arial"/>
      <w:spacing w:val="-3"/>
      <w:sz w:val="24"/>
      <w:szCs w:val="20"/>
      <w:lang w:val="en-US" w:eastAsia="pt-BR"/>
    </w:rPr>
  </w:style>
  <w:style w:type="paragraph" w:customStyle="1" w:styleId="PargrafodaLista1">
    <w:name w:val="Parágrafo da Lista1"/>
    <w:basedOn w:val="Normal"/>
    <w:pPr>
      <w:spacing w:after="200" w:line="276" w:lineRule="auto"/>
      <w:ind w:left="720"/>
    </w:pPr>
    <w:rPr>
      <w:rFonts w:eastAsia="Times New Roman"/>
      <w:lang w:eastAsia="pt-BR"/>
    </w:rPr>
  </w:style>
  <w:style w:type="paragraph" w:customStyle="1" w:styleId="font7">
    <w:name w:val="font7"/>
    <w:basedOn w:val="Normal"/>
    <w:pPr>
      <w:spacing w:before="100" w:beforeAutospacing="1" w:after="100" w:afterAutospacing="1"/>
    </w:pPr>
    <w:rPr>
      <w:rFonts w:eastAsia="Times New Roman" w:cs="Calibri"/>
      <w:b/>
      <w:bCs/>
      <w:sz w:val="20"/>
      <w:szCs w:val="20"/>
      <w:u w:val="single"/>
      <w:lang w:eastAsia="pt-BR"/>
    </w:rPr>
  </w:style>
  <w:style w:type="paragraph" w:customStyle="1" w:styleId="font8">
    <w:name w:val="font8"/>
    <w:basedOn w:val="Normal"/>
    <w:pPr>
      <w:spacing w:before="100" w:beforeAutospacing="1" w:after="100" w:afterAutospacing="1"/>
    </w:pPr>
    <w:rPr>
      <w:rFonts w:eastAsia="Times New Roman" w:cs="Calibri"/>
      <w:b/>
      <w:bCs/>
      <w:sz w:val="20"/>
      <w:szCs w:val="20"/>
      <w:lang w:eastAsia="pt-BR"/>
    </w:rPr>
  </w:style>
  <w:style w:type="paragraph" w:customStyle="1" w:styleId="font9">
    <w:name w:val="font9"/>
    <w:basedOn w:val="Normal"/>
    <w:pPr>
      <w:spacing w:before="100" w:beforeAutospacing="1" w:after="100" w:afterAutospacing="1"/>
    </w:pPr>
    <w:rPr>
      <w:rFonts w:eastAsia="Times New Roman" w:cs="Calibri"/>
      <w:sz w:val="20"/>
      <w:szCs w:val="20"/>
      <w:u w:val="single"/>
      <w:lang w:eastAsia="pt-BR"/>
    </w:rPr>
  </w:style>
  <w:style w:type="paragraph" w:customStyle="1" w:styleId="xl77">
    <w:name w:val="xl77"/>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78">
    <w:name w:val="xl7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1">
    <w:name w:val="xl8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0"/>
      <w:szCs w:val="20"/>
      <w:lang w:eastAsia="pt-BR"/>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pt-BR"/>
    </w:rPr>
  </w:style>
  <w:style w:type="paragraph" w:customStyle="1" w:styleId="xl88">
    <w:name w:val="xl8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89">
    <w:name w:val="xl8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0">
    <w:name w:val="xl90"/>
    <w:basedOn w:val="Normal"/>
    <w:pPr>
      <w:pBdr>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1">
    <w:name w:val="xl91"/>
    <w:basedOn w:val="Normal"/>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95">
    <w:name w:val="xl95"/>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6">
    <w:name w:val="xl96"/>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7">
    <w:name w:val="xl97"/>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8">
    <w:name w:val="xl98"/>
    <w:basedOn w:val="Normal"/>
    <w:pP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0"/>
      <w:szCs w:val="20"/>
      <w:lang w:eastAsia="pt-BR"/>
    </w:rPr>
  </w:style>
  <w:style w:type="paragraph" w:customStyle="1" w:styleId="xl101">
    <w:name w:val="xl101"/>
    <w:basedOn w:val="Normal"/>
    <w:pPr>
      <w:spacing w:before="100" w:beforeAutospacing="1" w:after="100" w:afterAutospacing="1"/>
      <w:jc w:val="center"/>
    </w:pPr>
    <w:rPr>
      <w:rFonts w:ascii="Times New Roman" w:eastAsia="Times New Roman" w:hAnsi="Times New Roman"/>
      <w:color w:val="FF0000"/>
      <w:sz w:val="20"/>
      <w:szCs w:val="20"/>
      <w:lang w:eastAsia="pt-BR"/>
    </w:rPr>
  </w:style>
  <w:style w:type="paragraph" w:customStyle="1" w:styleId="xl102">
    <w:name w:val="xl102"/>
    <w:basedOn w:val="Normal"/>
    <w:pPr>
      <w:spacing w:before="100" w:beforeAutospacing="1" w:after="100" w:afterAutospacing="1"/>
      <w:jc w:val="both"/>
      <w:textAlignment w:val="center"/>
    </w:pPr>
    <w:rPr>
      <w:rFonts w:ascii="Times New Roman" w:eastAsia="Times New Roman" w:hAnsi="Times New Roman"/>
      <w:color w:val="FF0000"/>
      <w:sz w:val="20"/>
      <w:szCs w:val="20"/>
      <w:lang w:eastAsia="pt-BR"/>
    </w:rPr>
  </w:style>
  <w:style w:type="paragraph" w:customStyle="1" w:styleId="xl103">
    <w:name w:val="xl103"/>
    <w:basedOn w:val="Normal"/>
    <w:pPr>
      <w:spacing w:before="100" w:beforeAutospacing="1" w:after="100" w:afterAutospacing="1"/>
      <w:jc w:val="center"/>
    </w:pPr>
    <w:rPr>
      <w:rFonts w:ascii="Times New Roman" w:eastAsia="Times New Roman" w:hAnsi="Times New Roman"/>
      <w:color w:val="FF0000"/>
      <w:sz w:val="20"/>
      <w:szCs w:val="20"/>
      <w:lang w:eastAsia="pt-BR"/>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0"/>
      <w:szCs w:val="20"/>
      <w:u w:val="single"/>
      <w:lang w:eastAsia="pt-BR"/>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10">
    <w:name w:val="xl110"/>
    <w:basedOn w:val="Normal"/>
    <w:pPr>
      <w:spacing w:before="100" w:beforeAutospacing="1" w:after="100" w:afterAutospacing="1"/>
      <w:jc w:val="center"/>
    </w:pPr>
    <w:rPr>
      <w:rFonts w:ascii="Times New Roman" w:eastAsia="Times New Roman" w:hAnsi="Times New Roman"/>
      <w:sz w:val="20"/>
      <w:szCs w:val="20"/>
      <w:lang w:eastAsia="pt-BR"/>
    </w:rPr>
  </w:style>
  <w:style w:type="paragraph" w:customStyle="1" w:styleId="xl111">
    <w:name w:val="xl111"/>
    <w:basedOn w:val="Normal"/>
    <w:pPr>
      <w:spacing w:before="100" w:beforeAutospacing="1" w:after="100" w:afterAutospacing="1"/>
      <w:jc w:val="both"/>
      <w:textAlignment w:val="center"/>
    </w:pPr>
    <w:rPr>
      <w:rFonts w:ascii="Times New Roman" w:eastAsia="Times New Roman" w:hAnsi="Times New Roman"/>
      <w:sz w:val="20"/>
      <w:szCs w:val="20"/>
      <w:lang w:eastAsia="pt-BR"/>
    </w:rPr>
  </w:style>
  <w:style w:type="paragraph" w:customStyle="1" w:styleId="xl112">
    <w:name w:val="xl112"/>
    <w:basedOn w:val="Normal"/>
    <w:pPr>
      <w:spacing w:before="100" w:beforeAutospacing="1" w:after="100" w:afterAutospacing="1"/>
    </w:pPr>
    <w:rPr>
      <w:rFonts w:ascii="Times New Roman" w:eastAsia="Times New Roman" w:hAnsi="Times New Roman"/>
      <w:sz w:val="20"/>
      <w:szCs w:val="20"/>
      <w:lang w:eastAsia="pt-BR"/>
    </w:rPr>
  </w:style>
  <w:style w:type="paragraph" w:customStyle="1" w:styleId="xl113">
    <w:name w:val="xl113"/>
    <w:basedOn w:val="Normal"/>
    <w:pPr>
      <w:spacing w:before="100" w:beforeAutospacing="1" w:after="100" w:afterAutospacing="1"/>
    </w:pPr>
    <w:rPr>
      <w:rFonts w:ascii="Times New Roman" w:eastAsia="Times New Roman" w:hAnsi="Times New Roman"/>
      <w:b/>
      <w:bCs/>
      <w:sz w:val="20"/>
      <w:szCs w:val="20"/>
      <w:lang w:eastAsia="pt-BR"/>
    </w:rPr>
  </w:style>
  <w:style w:type="paragraph" w:customStyle="1" w:styleId="xl114">
    <w:name w:val="xl114"/>
    <w:basedOn w:val="Normal"/>
    <w:pPr>
      <w:spacing w:before="100" w:beforeAutospacing="1" w:after="100" w:afterAutospacing="1"/>
      <w:jc w:val="center"/>
    </w:pPr>
    <w:rPr>
      <w:rFonts w:ascii="Times New Roman" w:eastAsia="Times New Roman" w:hAnsi="Times New Roman"/>
      <w:sz w:val="20"/>
      <w:szCs w:val="20"/>
      <w:lang w:eastAsia="pt-BR"/>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0"/>
      <w:szCs w:val="20"/>
      <w:lang w:eastAsia="pt-BR"/>
    </w:rPr>
  </w:style>
  <w:style w:type="paragraph" w:customStyle="1" w:styleId="xl116">
    <w:name w:val="xl116"/>
    <w:basedOn w:val="Normal"/>
    <w:pP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0"/>
      <w:szCs w:val="20"/>
      <w:u w:val="single"/>
      <w:lang w:eastAsia="pt-BR"/>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u w:val="single"/>
      <w:lang w:eastAsia="pt-BR"/>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eastAsia="pt-BR"/>
    </w:rPr>
  </w:style>
  <w:style w:type="paragraph" w:customStyle="1" w:styleId="xl120">
    <w:name w:val="xl120"/>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1">
    <w:name w:val="xl121"/>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2">
    <w:name w:val="xl122"/>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3">
    <w:name w:val="xl123"/>
    <w:basedOn w:val="Normal"/>
    <w:pP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u w:val="single"/>
      <w:lang w:eastAsia="pt-BR"/>
    </w:rPr>
  </w:style>
  <w:style w:type="paragraph" w:customStyle="1" w:styleId="xl126">
    <w:name w:val="xl126"/>
    <w:basedOn w:val="Normal"/>
    <w:pPr>
      <w:spacing w:before="100" w:beforeAutospacing="1" w:after="100" w:afterAutospacing="1"/>
    </w:pPr>
    <w:rPr>
      <w:rFonts w:ascii="Times New Roman" w:eastAsia="Times New Roman" w:hAnsi="Times New Roman"/>
      <w:color w:val="FF0000"/>
      <w:sz w:val="20"/>
      <w:szCs w:val="20"/>
      <w:lang w:eastAsia="pt-BR"/>
    </w:rPr>
  </w:style>
  <w:style w:type="paragraph" w:customStyle="1" w:styleId="xl127">
    <w:name w:val="xl12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pt-BR"/>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0"/>
      <w:szCs w:val="20"/>
      <w:lang w:eastAsia="pt-BR"/>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u w:val="single"/>
      <w:lang w:eastAsia="pt-BR"/>
    </w:rPr>
  </w:style>
  <w:style w:type="table" w:customStyle="1" w:styleId="Tabelacomgrade1">
    <w:name w:val="Tabela com grade1"/>
    <w:basedOn w:val="Tabelanormal"/>
    <w:next w:val="Tabelacomgrade"/>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3">
    <w:name w:val="Menção Pendente3"/>
    <w:uiPriority w:val="99"/>
    <w:semiHidden/>
    <w:unhideWhenUsed/>
    <w:rPr>
      <w:color w:val="605E5C"/>
      <w:shd w:val="clear" w:color="auto" w:fill="E1DFDD"/>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ahoma"/>
      <w:i/>
      <w:iCs/>
      <w:color w:val="000000"/>
      <w:sz w:val="20"/>
      <w:szCs w:val="24"/>
    </w:rPr>
  </w:style>
  <w:style w:type="character" w:customStyle="1" w:styleId="CitaoChar">
    <w:name w:val="Citação Char"/>
    <w:link w:val="Citao"/>
    <w:rPr>
      <w:rFonts w:ascii="Arial" w:eastAsia="Calibri" w:hAnsi="Arial" w:cs="Tahoma"/>
      <w:i/>
      <w:iCs/>
      <w:color w:val="000000"/>
      <w:sz w:val="20"/>
      <w:szCs w:val="24"/>
      <w:shd w:val="clear" w:color="auto" w:fill="FFFFCC"/>
    </w:rPr>
  </w:style>
  <w:style w:type="character" w:customStyle="1" w:styleId="MenoPendente4">
    <w:name w:val="Menção Pendente4"/>
    <w:uiPriority w:val="99"/>
    <w:semiHidden/>
    <w:unhideWhenUsed/>
    <w:rPr>
      <w:color w:val="605E5C"/>
      <w:shd w:val="clear" w:color="auto" w:fill="E1DFDD"/>
    </w:rPr>
  </w:style>
  <w:style w:type="paragraph" w:styleId="CabealhodoSumrio">
    <w:name w:val="TOC Heading"/>
    <w:basedOn w:val="Ttulo1"/>
    <w:next w:val="Normal"/>
    <w:uiPriority w:val="39"/>
    <w:unhideWhenUsed/>
    <w:qFormat/>
    <w:pPr>
      <w:keepLines/>
      <w:spacing w:before="240" w:line="259" w:lineRule="auto"/>
      <w:outlineLvl w:val="9"/>
    </w:pPr>
    <w:rPr>
      <w:rFonts w:ascii="Cambria" w:hAnsi="Cambria" w:cs="Times New Roman"/>
      <w:color w:val="365F91"/>
      <w:sz w:val="32"/>
      <w:szCs w:val="32"/>
      <w:lang w:eastAsia="pt-BR"/>
    </w:rPr>
  </w:style>
  <w:style w:type="paragraph" w:styleId="Sumrio1">
    <w:name w:val="toc 1"/>
    <w:basedOn w:val="Normal"/>
    <w:next w:val="Normal"/>
    <w:autoRedefine/>
    <w:uiPriority w:val="39"/>
    <w:unhideWhenUsed/>
    <w:pPr>
      <w:spacing w:after="100"/>
    </w:pPr>
    <w:rPr>
      <w:rFonts w:ascii="Arial" w:hAnsi="Arial"/>
      <w:b/>
    </w:rPr>
  </w:style>
  <w:style w:type="character" w:customStyle="1" w:styleId="MenoPendente5">
    <w:name w:val="Menção Pendente5"/>
    <w:uiPriority w:val="99"/>
    <w:semiHidden/>
    <w:unhideWhenUsed/>
    <w:rPr>
      <w:color w:val="605E5C"/>
      <w:shd w:val="clear" w:color="auto" w:fill="E1DFDD"/>
    </w:rPr>
  </w:style>
  <w:style w:type="character" w:customStyle="1" w:styleId="PargrafodaListaChar">
    <w:name w:val="Parágrafo da Lista Char"/>
    <w:link w:val="PargrafodaLista"/>
    <w:uiPriority w:val="34"/>
    <w:qFormat/>
    <w:rPr>
      <w:rFonts w:ascii="Times New Roman" w:eastAsia="Times New Roman" w:hAnsi="Times New Roman" w:cs="Times New Roman"/>
      <w:sz w:val="20"/>
      <w:szCs w:val="20"/>
      <w:lang w:eastAsia="ar-SA"/>
    </w:rPr>
  </w:style>
  <w:style w:type="paragraph" w:customStyle="1" w:styleId="Nivel2">
    <w:name w:val="Nivel 2"/>
    <w:basedOn w:val="Normal"/>
    <w:link w:val="Nivel2Char"/>
    <w:qFormat/>
    <w:pPr>
      <w:autoSpaceDE w:val="0"/>
      <w:autoSpaceDN w:val="0"/>
      <w:adjustRightInd w:val="0"/>
      <w:spacing w:before="120" w:after="120" w:line="276" w:lineRule="auto"/>
      <w:jc w:val="both"/>
    </w:pPr>
    <w:rPr>
      <w:rFonts w:ascii="Arial" w:eastAsia="Times New Roman" w:hAnsi="Arial" w:cs="Arial"/>
      <w:sz w:val="20"/>
      <w:szCs w:val="20"/>
      <w:lang w:eastAsia="pt-BR"/>
    </w:rPr>
  </w:style>
  <w:style w:type="character" w:customStyle="1" w:styleId="Nivel2Char">
    <w:name w:val="Nivel 2 Char"/>
    <w:link w:val="Nivel2"/>
    <w:locked/>
    <w:rPr>
      <w:rFonts w:ascii="Arial" w:eastAsia="Times New Roman" w:hAnsi="Arial" w:cs="Arial"/>
      <w:sz w:val="20"/>
      <w:szCs w:val="20"/>
      <w:lang w:eastAsia="pt-BR"/>
    </w:rPr>
  </w:style>
  <w:style w:type="paragraph" w:customStyle="1" w:styleId="TableContents">
    <w:name w:val="Table Contents"/>
    <w:basedOn w:val="Standard"/>
    <w:pPr>
      <w:widowControl w:val="0"/>
      <w:suppressLineNumbers/>
    </w:pPr>
    <w:rPr>
      <w:rFonts w:eastAsia="SimSun" w:cs="Mangal"/>
      <w:lang w:eastAsia="zh-CN" w:bidi="hi-IN"/>
    </w:rPr>
  </w:style>
  <w:style w:type="paragraph" w:customStyle="1" w:styleId="Nvel2-Red">
    <w:name w:val="Nível 2 -Red"/>
    <w:basedOn w:val="Normal"/>
    <w:link w:val="Nvel2-RedChar"/>
    <w:qFormat/>
    <w:pPr>
      <w:numPr>
        <w:ilvl w:val="1"/>
        <w:numId w:val="41"/>
      </w:numPr>
      <w:spacing w:before="120" w:after="120" w:line="276" w:lineRule="auto"/>
      <w:ind w:left="0" w:firstLine="0"/>
      <w:jc w:val="both"/>
    </w:pPr>
    <w:rPr>
      <w:rFonts w:ascii="Arial" w:eastAsia="Times New Roman" w:hAnsi="Arial" w:cs="Arial"/>
      <w:i/>
      <w:iCs/>
      <w:color w:val="FF0000"/>
      <w:sz w:val="20"/>
      <w:szCs w:val="20"/>
      <w:lang w:eastAsia="pt-BR"/>
    </w:rPr>
  </w:style>
  <w:style w:type="paragraph" w:customStyle="1" w:styleId="Nvel3-R">
    <w:name w:val="Nível 3-R"/>
    <w:basedOn w:val="Normal"/>
    <w:link w:val="Nvel3-RChar"/>
    <w:qFormat/>
    <w:pPr>
      <w:numPr>
        <w:ilvl w:val="2"/>
        <w:numId w:val="41"/>
      </w:numPr>
      <w:spacing w:before="120" w:after="120" w:line="276" w:lineRule="auto"/>
      <w:ind w:left="425" w:firstLine="0"/>
      <w:jc w:val="both"/>
    </w:pPr>
    <w:rPr>
      <w:rFonts w:ascii="Arial" w:eastAsia="Times New Roman" w:hAnsi="Arial" w:cs="Arial"/>
      <w:i/>
      <w:iCs/>
      <w:color w:val="FF0000"/>
      <w:sz w:val="20"/>
      <w:szCs w:val="20"/>
      <w:lang w:eastAsia="pt-BR"/>
    </w:rPr>
  </w:style>
  <w:style w:type="paragraph" w:customStyle="1" w:styleId="Nivel01">
    <w:name w:val="Nivel 01"/>
    <w:basedOn w:val="Ttulo1"/>
    <w:next w:val="Normal"/>
    <w:link w:val="Nivel01Char"/>
    <w:qFormat/>
    <w:pPr>
      <w:keepNext/>
      <w:keepLines/>
      <w:numPr>
        <w:numId w:val="0"/>
      </w:numPr>
      <w:tabs>
        <w:tab w:val="clear" w:pos="284"/>
        <w:tab w:val="left" w:pos="567"/>
      </w:tabs>
      <w:suppressAutoHyphens w:val="0"/>
      <w:spacing w:before="240"/>
      <w:ind w:left="360" w:hanging="360"/>
      <w:contextualSpacing w:val="0"/>
    </w:pPr>
    <w:rPr>
      <w:sz w:val="20"/>
      <w:szCs w:val="20"/>
      <w:lang w:eastAsia="pt-BR"/>
    </w:rPr>
  </w:style>
  <w:style w:type="character" w:customStyle="1" w:styleId="Nivel01Char">
    <w:name w:val="Nivel 01 Char"/>
    <w:link w:val="Nivel01"/>
    <w:rPr>
      <w:rFonts w:ascii="Arial" w:eastAsia="Times New Roman" w:hAnsi="Arial" w:cs="Arial"/>
      <w:b/>
      <w:bCs/>
      <w:sz w:val="20"/>
      <w:szCs w:val="20"/>
      <w:lang w:eastAsia="pt-BR"/>
    </w:rPr>
  </w:style>
  <w:style w:type="paragraph" w:customStyle="1" w:styleId="Nivel3">
    <w:name w:val="Nivel 3"/>
    <w:basedOn w:val="Normal"/>
    <w:link w:val="Nivel3Char"/>
    <w:qFormat/>
    <w:pPr>
      <w:spacing w:before="120" w:after="120" w:line="276" w:lineRule="auto"/>
      <w:ind w:left="425"/>
      <w:jc w:val="both"/>
    </w:pPr>
    <w:rPr>
      <w:rFonts w:ascii="Arial" w:eastAsia="Times New Roman" w:hAnsi="Arial" w:cs="Arial"/>
      <w:color w:val="000000"/>
      <w:sz w:val="20"/>
      <w:szCs w:val="20"/>
      <w:lang w:eastAsia="pt-BR"/>
    </w:rPr>
  </w:style>
  <w:style w:type="paragraph" w:customStyle="1" w:styleId="Nivel4">
    <w:name w:val="Nivel 4"/>
    <w:basedOn w:val="Nivel3"/>
    <w:link w:val="Nivel4Char"/>
    <w:qFormat/>
    <w:pPr>
      <w:ind w:left="851"/>
    </w:pPr>
    <w:rPr>
      <w:color w:val="auto"/>
    </w:rPr>
  </w:style>
  <w:style w:type="paragraph" w:customStyle="1" w:styleId="Nivel5">
    <w:name w:val="Nivel 5"/>
    <w:basedOn w:val="Nivel4"/>
    <w:qFormat/>
    <w:pPr>
      <w:ind w:left="1276"/>
    </w:pPr>
  </w:style>
  <w:style w:type="character" w:customStyle="1" w:styleId="Nvel2-RedChar">
    <w:name w:val="Nível 2 -Red Char"/>
    <w:link w:val="Nvel2-Red"/>
    <w:rPr>
      <w:rFonts w:ascii="Arial" w:eastAsia="Times New Roman" w:hAnsi="Arial" w:cs="Arial"/>
      <w:i/>
      <w:iCs/>
      <w:color w:val="FF0000"/>
      <w:lang w:eastAsia="pt-BR"/>
    </w:rPr>
  </w:style>
  <w:style w:type="character" w:customStyle="1" w:styleId="Nivel3Char">
    <w:name w:val="Nivel 3 Char"/>
    <w:link w:val="Nivel3"/>
    <w:rPr>
      <w:rFonts w:ascii="Arial" w:eastAsia="Times New Roman" w:hAnsi="Arial" w:cs="Arial"/>
      <w:color w:val="000000"/>
      <w:sz w:val="20"/>
      <w:szCs w:val="20"/>
      <w:lang w:eastAsia="pt-BR"/>
    </w:rPr>
  </w:style>
  <w:style w:type="character" w:customStyle="1" w:styleId="Nivel4Char">
    <w:name w:val="Nivel 4 Char"/>
    <w:link w:val="Nivel4"/>
    <w:rPr>
      <w:rFonts w:ascii="Arial" w:eastAsia="Times New Roman" w:hAnsi="Arial" w:cs="Arial"/>
      <w:sz w:val="20"/>
      <w:szCs w:val="20"/>
      <w:lang w:eastAsia="pt-BR"/>
    </w:rPr>
  </w:style>
  <w:style w:type="paragraph" w:customStyle="1" w:styleId="ou">
    <w:name w:val="ou"/>
    <w:basedOn w:val="PargrafodaLista"/>
    <w:link w:val="ouChar"/>
    <w:qFormat/>
    <w:pPr>
      <w:suppressAutoHyphens w:val="0"/>
      <w:spacing w:before="60" w:after="60" w:line="259" w:lineRule="auto"/>
      <w:ind w:left="0"/>
      <w:contextualSpacing w:val="0"/>
      <w:jc w:val="center"/>
    </w:pPr>
    <w:rPr>
      <w:rFonts w:ascii="Arial" w:eastAsia="Calibri" w:hAnsi="Arial" w:cs="Arial"/>
      <w:b/>
      <w:bCs/>
      <w:i/>
      <w:iCs/>
      <w:color w:val="FF0000"/>
      <w:sz w:val="24"/>
      <w:szCs w:val="24"/>
      <w:u w:val="single"/>
      <w:lang w:eastAsia="pt-BR"/>
    </w:rPr>
  </w:style>
  <w:style w:type="character" w:customStyle="1" w:styleId="ouChar">
    <w:name w:val="ou Char"/>
    <w:link w:val="ou"/>
    <w:rPr>
      <w:rFonts w:ascii="Arial" w:eastAsia="Calibri" w:hAnsi="Arial" w:cs="Arial"/>
      <w:b/>
      <w:bCs/>
      <w:i/>
      <w:iCs/>
      <w:color w:val="FF0000"/>
      <w:sz w:val="24"/>
      <w:szCs w:val="24"/>
      <w:u w:val="single"/>
      <w:lang w:eastAsia="pt-BR"/>
    </w:rPr>
  </w:style>
  <w:style w:type="character" w:customStyle="1" w:styleId="Nvel3-RChar">
    <w:name w:val="Nível 3-R Char"/>
    <w:link w:val="Nvel3-R"/>
    <w:rPr>
      <w:rFonts w:ascii="Arial" w:eastAsia="Times New Roman" w:hAnsi="Arial" w:cs="Arial"/>
      <w:i/>
      <w:iCs/>
      <w:color w:val="FF0000"/>
      <w:lang w:eastAsia="pt-BR"/>
    </w:rPr>
  </w:style>
  <w:style w:type="paragraph" w:customStyle="1" w:styleId="Nvel4">
    <w:name w:val="Nível 4"/>
    <w:basedOn w:val="Normal"/>
    <w:qFormat/>
    <w:pPr>
      <w:spacing w:before="120" w:after="120" w:line="276" w:lineRule="auto"/>
      <w:ind w:left="567"/>
      <w:jc w:val="both"/>
    </w:pPr>
    <w:rPr>
      <w:rFonts w:ascii="Arial" w:eastAsia="Times New Roman" w:hAnsi="Arial" w:cs="Arial"/>
      <w:sz w:val="20"/>
      <w:szCs w:val="20"/>
      <w:lang w:eastAsia="pt-BR"/>
    </w:rPr>
  </w:style>
  <w:style w:type="character" w:customStyle="1" w:styleId="MenoPendente6">
    <w:name w:val="Menção Pendente6"/>
    <w:uiPriority w:val="99"/>
    <w:semiHidden/>
    <w:unhideWhenUsed/>
    <w:rPr>
      <w:color w:val="605E5C"/>
      <w:shd w:val="clear" w:color="auto" w:fill="E1DFDD"/>
    </w:rPr>
  </w:style>
  <w:style w:type="paragraph" w:customStyle="1" w:styleId="P">
    <w:name w:val="P"/>
    <w:basedOn w:val="Normal"/>
    <w:pPr>
      <w:widowControl w:val="0"/>
      <w:suppressAutoHyphens/>
      <w:jc w:val="both"/>
    </w:pPr>
    <w:rPr>
      <w:rFonts w:ascii="Times New Roman" w:eastAsia="Arial Unicode MS" w:hAnsi="Times New Roman" w:cs="Tahoma"/>
      <w:b/>
      <w:kern w:val="2"/>
      <w:sz w:val="24"/>
      <w:szCs w:val="24"/>
      <w:lang w:eastAsia="zh-CN" w:bidi="hi-IN"/>
    </w:rPr>
  </w:style>
  <w:style w:type="paragraph" w:customStyle="1" w:styleId="BodyText21">
    <w:name w:val="Body Text 21"/>
    <w:basedOn w:val="Normal"/>
    <w:pPr>
      <w:widowControl w:val="0"/>
      <w:suppressAutoHyphens/>
      <w:jc w:val="both"/>
    </w:pPr>
    <w:rPr>
      <w:rFonts w:ascii="Times New Roman" w:eastAsia="Arial Unicode MS" w:hAnsi="Times New Roman" w:cs="Tahoma"/>
      <w:kern w:val="2"/>
      <w:sz w:val="24"/>
      <w:szCs w:val="24"/>
      <w:lang w:eastAsia="zh-CN" w:bidi="hi-IN"/>
    </w:rPr>
  </w:style>
  <w:style w:type="paragraph" w:customStyle="1" w:styleId="Nvel2">
    <w:name w:val="Nível 2"/>
    <w:basedOn w:val="Normal"/>
    <w:next w:val="Normal"/>
    <w:pPr>
      <w:widowControl w:val="0"/>
      <w:suppressAutoHyphens/>
      <w:spacing w:after="120"/>
      <w:jc w:val="both"/>
    </w:pPr>
    <w:rPr>
      <w:rFonts w:ascii="Arial" w:eastAsia="Arial Unicode MS" w:hAnsi="Arial" w:cs="Arial"/>
      <w:b/>
      <w:kern w:val="2"/>
      <w:sz w:val="24"/>
      <w:szCs w:val="24"/>
      <w:lang w:eastAsia="zh-CN" w:bidi="hi-IN"/>
    </w:rPr>
  </w:style>
  <w:style w:type="character" w:customStyle="1" w:styleId="UnresolvedMention">
    <w:name w:val="Unresolved Mention"/>
    <w:basedOn w:val="Fontepargpadro"/>
    <w:uiPriority w:val="99"/>
    <w:semiHidden/>
    <w:unhideWhenUsed/>
    <w:rPr>
      <w:color w:val="605E5C"/>
      <w:shd w:val="clear" w:color="auto" w:fill="E1DFDD"/>
    </w:rPr>
  </w:style>
  <w:style w:type="paragraph" w:customStyle="1" w:styleId="textoprojetobasico">
    <w:name w:val="texto_projeto_basico"/>
    <w:pPr>
      <w:tabs>
        <w:tab w:val="left" w:pos="1080"/>
      </w:tabs>
      <w:suppressAutoHyphens/>
      <w:ind w:firstLine="48"/>
      <w:jc w:val="both"/>
    </w:pPr>
    <w:rPr>
      <w:rFonts w:ascii="Arial" w:eastAsia="Times New Roman" w:hAnsi="Arial"/>
      <w:sz w:val="24"/>
      <w:szCs w:val="24"/>
      <w:lang w:eastAsia="ar-SA"/>
    </w:rPr>
  </w:style>
  <w:style w:type="table" w:customStyle="1" w:styleId="Tabelacomgrade2">
    <w:name w:val="Tabela com grade2"/>
    <w:basedOn w:val="Tabelanormal"/>
    <w:next w:val="Tabelacomgrade"/>
    <w:uiPriority w:val="39"/>
    <w:rPr>
      <w:rFonts w:asciiTheme="minorHAnsi" w:eastAsiaTheme="minorHAnsi" w:hAnsiTheme="minorHAnsi" w:cstheme="minorBidi"/>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1"/>
    <w:basedOn w:val="TableNormal"/>
    <w:pPr>
      <w:widowControl/>
      <w:spacing w:after="200" w:line="276" w:lineRule="auto"/>
    </w:pPr>
    <w:rPr>
      <w:rFonts w:cs="Calibri"/>
      <w:lang w:val="pt-BR" w:eastAsia="pt-BR"/>
    </w:rPr>
    <w:tblPr>
      <w:tblStyleRowBandSize w:val="1"/>
      <w:tblStyleColBandSize w:val="1"/>
      <w:tblCellMar>
        <w:top w:w="0" w:type="dxa"/>
        <w:left w:w="115" w:type="dxa"/>
        <w:bottom w:w="0" w:type="dxa"/>
        <w:right w:w="115" w:type="dxa"/>
      </w:tblCellMar>
    </w:tblPr>
  </w:style>
  <w:style w:type="paragraph" w:customStyle="1" w:styleId="paragraph">
    <w:name w:val="paragraph"/>
    <w:basedOn w:val="Normal"/>
    <w:pPr>
      <w:spacing w:before="100" w:beforeAutospacing="1" w:after="100" w:afterAutospacing="1"/>
    </w:pPr>
    <w:rPr>
      <w:rFonts w:ascii="Times New Roman" w:eastAsia="Times New Roman" w:hAnsi="Times New Roman"/>
      <w:sz w:val="24"/>
      <w:szCs w:val="24"/>
      <w:lang w:eastAsia="pt-BR"/>
    </w:rPr>
  </w:style>
  <w:style w:type="character" w:customStyle="1" w:styleId="normaltextrun">
    <w:name w:val="normaltextrun"/>
    <w:basedOn w:val="Fontepargpadro"/>
  </w:style>
  <w:style w:type="character" w:customStyle="1" w:styleId="eop">
    <w:name w:val="eop"/>
    <w:basedOn w:val="Fontepargpadro"/>
  </w:style>
  <w:style w:type="table" w:customStyle="1" w:styleId="TableNormal1">
    <w:name w:val="Table Normal1"/>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3050">
      <w:bodyDiv w:val="1"/>
      <w:marLeft w:val="0"/>
      <w:marRight w:val="0"/>
      <w:marTop w:val="0"/>
      <w:marBottom w:val="0"/>
      <w:divBdr>
        <w:top w:val="none" w:sz="0" w:space="0" w:color="auto"/>
        <w:left w:val="none" w:sz="0" w:space="0" w:color="auto"/>
        <w:bottom w:val="none" w:sz="0" w:space="0" w:color="auto"/>
        <w:right w:val="none" w:sz="0" w:space="0" w:color="auto"/>
      </w:divBdr>
    </w:div>
    <w:div w:id="105200474">
      <w:bodyDiv w:val="1"/>
      <w:marLeft w:val="0"/>
      <w:marRight w:val="0"/>
      <w:marTop w:val="0"/>
      <w:marBottom w:val="0"/>
      <w:divBdr>
        <w:top w:val="none" w:sz="0" w:space="0" w:color="auto"/>
        <w:left w:val="none" w:sz="0" w:space="0" w:color="auto"/>
        <w:bottom w:val="none" w:sz="0" w:space="0" w:color="auto"/>
        <w:right w:val="none" w:sz="0" w:space="0" w:color="auto"/>
      </w:divBdr>
    </w:div>
    <w:div w:id="117719904">
      <w:bodyDiv w:val="1"/>
      <w:marLeft w:val="0"/>
      <w:marRight w:val="0"/>
      <w:marTop w:val="0"/>
      <w:marBottom w:val="0"/>
      <w:divBdr>
        <w:top w:val="none" w:sz="0" w:space="0" w:color="auto"/>
        <w:left w:val="none" w:sz="0" w:space="0" w:color="auto"/>
        <w:bottom w:val="none" w:sz="0" w:space="0" w:color="auto"/>
        <w:right w:val="none" w:sz="0" w:space="0" w:color="auto"/>
      </w:divBdr>
    </w:div>
    <w:div w:id="133987501">
      <w:bodyDiv w:val="1"/>
      <w:marLeft w:val="0"/>
      <w:marRight w:val="0"/>
      <w:marTop w:val="0"/>
      <w:marBottom w:val="0"/>
      <w:divBdr>
        <w:top w:val="none" w:sz="0" w:space="0" w:color="auto"/>
        <w:left w:val="none" w:sz="0" w:space="0" w:color="auto"/>
        <w:bottom w:val="none" w:sz="0" w:space="0" w:color="auto"/>
        <w:right w:val="none" w:sz="0" w:space="0" w:color="auto"/>
      </w:divBdr>
    </w:div>
    <w:div w:id="236207391">
      <w:bodyDiv w:val="1"/>
      <w:marLeft w:val="0"/>
      <w:marRight w:val="0"/>
      <w:marTop w:val="0"/>
      <w:marBottom w:val="0"/>
      <w:divBdr>
        <w:top w:val="none" w:sz="0" w:space="0" w:color="auto"/>
        <w:left w:val="none" w:sz="0" w:space="0" w:color="auto"/>
        <w:bottom w:val="none" w:sz="0" w:space="0" w:color="auto"/>
        <w:right w:val="none" w:sz="0" w:space="0" w:color="auto"/>
      </w:divBdr>
    </w:div>
    <w:div w:id="398863175">
      <w:bodyDiv w:val="1"/>
      <w:marLeft w:val="0"/>
      <w:marRight w:val="0"/>
      <w:marTop w:val="0"/>
      <w:marBottom w:val="0"/>
      <w:divBdr>
        <w:top w:val="none" w:sz="0" w:space="0" w:color="auto"/>
        <w:left w:val="none" w:sz="0" w:space="0" w:color="auto"/>
        <w:bottom w:val="none" w:sz="0" w:space="0" w:color="auto"/>
        <w:right w:val="none" w:sz="0" w:space="0" w:color="auto"/>
      </w:divBdr>
    </w:div>
    <w:div w:id="507328609">
      <w:bodyDiv w:val="1"/>
      <w:marLeft w:val="0"/>
      <w:marRight w:val="0"/>
      <w:marTop w:val="0"/>
      <w:marBottom w:val="0"/>
      <w:divBdr>
        <w:top w:val="none" w:sz="0" w:space="0" w:color="auto"/>
        <w:left w:val="none" w:sz="0" w:space="0" w:color="auto"/>
        <w:bottom w:val="none" w:sz="0" w:space="0" w:color="auto"/>
        <w:right w:val="none" w:sz="0" w:space="0" w:color="auto"/>
      </w:divBdr>
    </w:div>
    <w:div w:id="577639692">
      <w:bodyDiv w:val="1"/>
      <w:marLeft w:val="0"/>
      <w:marRight w:val="0"/>
      <w:marTop w:val="0"/>
      <w:marBottom w:val="0"/>
      <w:divBdr>
        <w:top w:val="none" w:sz="0" w:space="0" w:color="auto"/>
        <w:left w:val="none" w:sz="0" w:space="0" w:color="auto"/>
        <w:bottom w:val="none" w:sz="0" w:space="0" w:color="auto"/>
        <w:right w:val="none" w:sz="0" w:space="0" w:color="auto"/>
      </w:divBdr>
    </w:div>
    <w:div w:id="605116685">
      <w:bodyDiv w:val="1"/>
      <w:marLeft w:val="0"/>
      <w:marRight w:val="0"/>
      <w:marTop w:val="0"/>
      <w:marBottom w:val="0"/>
      <w:divBdr>
        <w:top w:val="none" w:sz="0" w:space="0" w:color="auto"/>
        <w:left w:val="none" w:sz="0" w:space="0" w:color="auto"/>
        <w:bottom w:val="none" w:sz="0" w:space="0" w:color="auto"/>
        <w:right w:val="none" w:sz="0" w:space="0" w:color="auto"/>
      </w:divBdr>
    </w:div>
    <w:div w:id="661546966">
      <w:bodyDiv w:val="1"/>
      <w:marLeft w:val="0"/>
      <w:marRight w:val="0"/>
      <w:marTop w:val="0"/>
      <w:marBottom w:val="0"/>
      <w:divBdr>
        <w:top w:val="none" w:sz="0" w:space="0" w:color="auto"/>
        <w:left w:val="none" w:sz="0" w:space="0" w:color="auto"/>
        <w:bottom w:val="none" w:sz="0" w:space="0" w:color="auto"/>
        <w:right w:val="none" w:sz="0" w:space="0" w:color="auto"/>
      </w:divBdr>
    </w:div>
    <w:div w:id="788469857">
      <w:bodyDiv w:val="1"/>
      <w:marLeft w:val="0"/>
      <w:marRight w:val="0"/>
      <w:marTop w:val="0"/>
      <w:marBottom w:val="0"/>
      <w:divBdr>
        <w:top w:val="none" w:sz="0" w:space="0" w:color="auto"/>
        <w:left w:val="none" w:sz="0" w:space="0" w:color="auto"/>
        <w:bottom w:val="none" w:sz="0" w:space="0" w:color="auto"/>
        <w:right w:val="none" w:sz="0" w:space="0" w:color="auto"/>
      </w:divBdr>
    </w:div>
    <w:div w:id="812527910">
      <w:bodyDiv w:val="1"/>
      <w:marLeft w:val="0"/>
      <w:marRight w:val="0"/>
      <w:marTop w:val="0"/>
      <w:marBottom w:val="0"/>
      <w:divBdr>
        <w:top w:val="none" w:sz="0" w:space="0" w:color="auto"/>
        <w:left w:val="none" w:sz="0" w:space="0" w:color="auto"/>
        <w:bottom w:val="none" w:sz="0" w:space="0" w:color="auto"/>
        <w:right w:val="none" w:sz="0" w:space="0" w:color="auto"/>
      </w:divBdr>
    </w:div>
    <w:div w:id="821698950">
      <w:bodyDiv w:val="1"/>
      <w:marLeft w:val="0"/>
      <w:marRight w:val="0"/>
      <w:marTop w:val="0"/>
      <w:marBottom w:val="0"/>
      <w:divBdr>
        <w:top w:val="none" w:sz="0" w:space="0" w:color="auto"/>
        <w:left w:val="none" w:sz="0" w:space="0" w:color="auto"/>
        <w:bottom w:val="none" w:sz="0" w:space="0" w:color="auto"/>
        <w:right w:val="none" w:sz="0" w:space="0" w:color="auto"/>
      </w:divBdr>
    </w:div>
    <w:div w:id="847864552">
      <w:bodyDiv w:val="1"/>
      <w:marLeft w:val="0"/>
      <w:marRight w:val="0"/>
      <w:marTop w:val="0"/>
      <w:marBottom w:val="0"/>
      <w:divBdr>
        <w:top w:val="none" w:sz="0" w:space="0" w:color="auto"/>
        <w:left w:val="none" w:sz="0" w:space="0" w:color="auto"/>
        <w:bottom w:val="none" w:sz="0" w:space="0" w:color="auto"/>
        <w:right w:val="none" w:sz="0" w:space="0" w:color="auto"/>
      </w:divBdr>
    </w:div>
    <w:div w:id="849372456">
      <w:bodyDiv w:val="1"/>
      <w:marLeft w:val="0"/>
      <w:marRight w:val="0"/>
      <w:marTop w:val="0"/>
      <w:marBottom w:val="0"/>
      <w:divBdr>
        <w:top w:val="none" w:sz="0" w:space="0" w:color="auto"/>
        <w:left w:val="none" w:sz="0" w:space="0" w:color="auto"/>
        <w:bottom w:val="none" w:sz="0" w:space="0" w:color="auto"/>
        <w:right w:val="none" w:sz="0" w:space="0" w:color="auto"/>
      </w:divBdr>
    </w:div>
    <w:div w:id="904101333">
      <w:bodyDiv w:val="1"/>
      <w:marLeft w:val="0"/>
      <w:marRight w:val="0"/>
      <w:marTop w:val="0"/>
      <w:marBottom w:val="0"/>
      <w:divBdr>
        <w:top w:val="none" w:sz="0" w:space="0" w:color="auto"/>
        <w:left w:val="none" w:sz="0" w:space="0" w:color="auto"/>
        <w:bottom w:val="none" w:sz="0" w:space="0" w:color="auto"/>
        <w:right w:val="none" w:sz="0" w:space="0" w:color="auto"/>
      </w:divBdr>
    </w:div>
    <w:div w:id="934750452">
      <w:bodyDiv w:val="1"/>
      <w:marLeft w:val="0"/>
      <w:marRight w:val="0"/>
      <w:marTop w:val="0"/>
      <w:marBottom w:val="0"/>
      <w:divBdr>
        <w:top w:val="none" w:sz="0" w:space="0" w:color="auto"/>
        <w:left w:val="none" w:sz="0" w:space="0" w:color="auto"/>
        <w:bottom w:val="none" w:sz="0" w:space="0" w:color="auto"/>
        <w:right w:val="none" w:sz="0" w:space="0" w:color="auto"/>
      </w:divBdr>
    </w:div>
    <w:div w:id="968172163">
      <w:bodyDiv w:val="1"/>
      <w:marLeft w:val="0"/>
      <w:marRight w:val="0"/>
      <w:marTop w:val="0"/>
      <w:marBottom w:val="0"/>
      <w:divBdr>
        <w:top w:val="none" w:sz="0" w:space="0" w:color="auto"/>
        <w:left w:val="none" w:sz="0" w:space="0" w:color="auto"/>
        <w:bottom w:val="none" w:sz="0" w:space="0" w:color="auto"/>
        <w:right w:val="none" w:sz="0" w:space="0" w:color="auto"/>
      </w:divBdr>
    </w:div>
    <w:div w:id="990669930">
      <w:bodyDiv w:val="1"/>
      <w:marLeft w:val="0"/>
      <w:marRight w:val="0"/>
      <w:marTop w:val="0"/>
      <w:marBottom w:val="0"/>
      <w:divBdr>
        <w:top w:val="none" w:sz="0" w:space="0" w:color="auto"/>
        <w:left w:val="none" w:sz="0" w:space="0" w:color="auto"/>
        <w:bottom w:val="none" w:sz="0" w:space="0" w:color="auto"/>
        <w:right w:val="none" w:sz="0" w:space="0" w:color="auto"/>
      </w:divBdr>
    </w:div>
    <w:div w:id="1177035878">
      <w:bodyDiv w:val="1"/>
      <w:marLeft w:val="0"/>
      <w:marRight w:val="0"/>
      <w:marTop w:val="0"/>
      <w:marBottom w:val="0"/>
      <w:divBdr>
        <w:top w:val="none" w:sz="0" w:space="0" w:color="auto"/>
        <w:left w:val="none" w:sz="0" w:space="0" w:color="auto"/>
        <w:bottom w:val="none" w:sz="0" w:space="0" w:color="auto"/>
        <w:right w:val="none" w:sz="0" w:space="0" w:color="auto"/>
      </w:divBdr>
    </w:div>
    <w:div w:id="1181510395">
      <w:bodyDiv w:val="1"/>
      <w:marLeft w:val="0"/>
      <w:marRight w:val="0"/>
      <w:marTop w:val="0"/>
      <w:marBottom w:val="0"/>
      <w:divBdr>
        <w:top w:val="none" w:sz="0" w:space="0" w:color="auto"/>
        <w:left w:val="none" w:sz="0" w:space="0" w:color="auto"/>
        <w:bottom w:val="none" w:sz="0" w:space="0" w:color="auto"/>
        <w:right w:val="none" w:sz="0" w:space="0" w:color="auto"/>
      </w:divBdr>
    </w:div>
    <w:div w:id="1196234746">
      <w:bodyDiv w:val="1"/>
      <w:marLeft w:val="0"/>
      <w:marRight w:val="0"/>
      <w:marTop w:val="0"/>
      <w:marBottom w:val="0"/>
      <w:divBdr>
        <w:top w:val="none" w:sz="0" w:space="0" w:color="auto"/>
        <w:left w:val="none" w:sz="0" w:space="0" w:color="auto"/>
        <w:bottom w:val="none" w:sz="0" w:space="0" w:color="auto"/>
        <w:right w:val="none" w:sz="0" w:space="0" w:color="auto"/>
      </w:divBdr>
    </w:div>
    <w:div w:id="1196457948">
      <w:bodyDiv w:val="1"/>
      <w:marLeft w:val="0"/>
      <w:marRight w:val="0"/>
      <w:marTop w:val="0"/>
      <w:marBottom w:val="0"/>
      <w:divBdr>
        <w:top w:val="none" w:sz="0" w:space="0" w:color="auto"/>
        <w:left w:val="none" w:sz="0" w:space="0" w:color="auto"/>
        <w:bottom w:val="none" w:sz="0" w:space="0" w:color="auto"/>
        <w:right w:val="none" w:sz="0" w:space="0" w:color="auto"/>
      </w:divBdr>
      <w:divsChild>
        <w:div w:id="746612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552732">
      <w:bodyDiv w:val="1"/>
      <w:marLeft w:val="0"/>
      <w:marRight w:val="0"/>
      <w:marTop w:val="0"/>
      <w:marBottom w:val="0"/>
      <w:divBdr>
        <w:top w:val="none" w:sz="0" w:space="0" w:color="auto"/>
        <w:left w:val="none" w:sz="0" w:space="0" w:color="auto"/>
        <w:bottom w:val="none" w:sz="0" w:space="0" w:color="auto"/>
        <w:right w:val="none" w:sz="0" w:space="0" w:color="auto"/>
      </w:divBdr>
    </w:div>
    <w:div w:id="1258060426">
      <w:bodyDiv w:val="1"/>
      <w:marLeft w:val="0"/>
      <w:marRight w:val="0"/>
      <w:marTop w:val="0"/>
      <w:marBottom w:val="0"/>
      <w:divBdr>
        <w:top w:val="none" w:sz="0" w:space="0" w:color="auto"/>
        <w:left w:val="none" w:sz="0" w:space="0" w:color="auto"/>
        <w:bottom w:val="none" w:sz="0" w:space="0" w:color="auto"/>
        <w:right w:val="none" w:sz="0" w:space="0" w:color="auto"/>
      </w:divBdr>
    </w:div>
    <w:div w:id="1309556224">
      <w:bodyDiv w:val="1"/>
      <w:marLeft w:val="0"/>
      <w:marRight w:val="0"/>
      <w:marTop w:val="0"/>
      <w:marBottom w:val="0"/>
      <w:divBdr>
        <w:top w:val="none" w:sz="0" w:space="0" w:color="auto"/>
        <w:left w:val="none" w:sz="0" w:space="0" w:color="auto"/>
        <w:bottom w:val="none" w:sz="0" w:space="0" w:color="auto"/>
        <w:right w:val="none" w:sz="0" w:space="0" w:color="auto"/>
      </w:divBdr>
    </w:div>
    <w:div w:id="1310982683">
      <w:bodyDiv w:val="1"/>
      <w:marLeft w:val="0"/>
      <w:marRight w:val="0"/>
      <w:marTop w:val="0"/>
      <w:marBottom w:val="0"/>
      <w:divBdr>
        <w:top w:val="none" w:sz="0" w:space="0" w:color="auto"/>
        <w:left w:val="none" w:sz="0" w:space="0" w:color="auto"/>
        <w:bottom w:val="none" w:sz="0" w:space="0" w:color="auto"/>
        <w:right w:val="none" w:sz="0" w:space="0" w:color="auto"/>
      </w:divBdr>
    </w:div>
    <w:div w:id="1331300493">
      <w:bodyDiv w:val="1"/>
      <w:marLeft w:val="0"/>
      <w:marRight w:val="0"/>
      <w:marTop w:val="0"/>
      <w:marBottom w:val="0"/>
      <w:divBdr>
        <w:top w:val="none" w:sz="0" w:space="0" w:color="auto"/>
        <w:left w:val="none" w:sz="0" w:space="0" w:color="auto"/>
        <w:bottom w:val="none" w:sz="0" w:space="0" w:color="auto"/>
        <w:right w:val="none" w:sz="0" w:space="0" w:color="auto"/>
      </w:divBdr>
    </w:div>
    <w:div w:id="1363938992">
      <w:bodyDiv w:val="1"/>
      <w:marLeft w:val="0"/>
      <w:marRight w:val="0"/>
      <w:marTop w:val="0"/>
      <w:marBottom w:val="0"/>
      <w:divBdr>
        <w:top w:val="none" w:sz="0" w:space="0" w:color="auto"/>
        <w:left w:val="none" w:sz="0" w:space="0" w:color="auto"/>
        <w:bottom w:val="none" w:sz="0" w:space="0" w:color="auto"/>
        <w:right w:val="none" w:sz="0" w:space="0" w:color="auto"/>
      </w:divBdr>
    </w:div>
    <w:div w:id="1394351616">
      <w:bodyDiv w:val="1"/>
      <w:marLeft w:val="0"/>
      <w:marRight w:val="0"/>
      <w:marTop w:val="0"/>
      <w:marBottom w:val="0"/>
      <w:divBdr>
        <w:top w:val="none" w:sz="0" w:space="0" w:color="auto"/>
        <w:left w:val="none" w:sz="0" w:space="0" w:color="auto"/>
        <w:bottom w:val="none" w:sz="0" w:space="0" w:color="auto"/>
        <w:right w:val="none" w:sz="0" w:space="0" w:color="auto"/>
      </w:divBdr>
    </w:div>
    <w:div w:id="1437556754">
      <w:bodyDiv w:val="1"/>
      <w:marLeft w:val="0"/>
      <w:marRight w:val="0"/>
      <w:marTop w:val="0"/>
      <w:marBottom w:val="0"/>
      <w:divBdr>
        <w:top w:val="none" w:sz="0" w:space="0" w:color="auto"/>
        <w:left w:val="none" w:sz="0" w:space="0" w:color="auto"/>
        <w:bottom w:val="none" w:sz="0" w:space="0" w:color="auto"/>
        <w:right w:val="none" w:sz="0" w:space="0" w:color="auto"/>
      </w:divBdr>
    </w:div>
    <w:div w:id="1443917110">
      <w:bodyDiv w:val="1"/>
      <w:marLeft w:val="0"/>
      <w:marRight w:val="0"/>
      <w:marTop w:val="0"/>
      <w:marBottom w:val="0"/>
      <w:divBdr>
        <w:top w:val="none" w:sz="0" w:space="0" w:color="auto"/>
        <w:left w:val="none" w:sz="0" w:space="0" w:color="auto"/>
        <w:bottom w:val="none" w:sz="0" w:space="0" w:color="auto"/>
        <w:right w:val="none" w:sz="0" w:space="0" w:color="auto"/>
      </w:divBdr>
    </w:div>
    <w:div w:id="1459182309">
      <w:bodyDiv w:val="1"/>
      <w:marLeft w:val="0"/>
      <w:marRight w:val="0"/>
      <w:marTop w:val="0"/>
      <w:marBottom w:val="0"/>
      <w:divBdr>
        <w:top w:val="none" w:sz="0" w:space="0" w:color="auto"/>
        <w:left w:val="none" w:sz="0" w:space="0" w:color="auto"/>
        <w:bottom w:val="none" w:sz="0" w:space="0" w:color="auto"/>
        <w:right w:val="none" w:sz="0" w:space="0" w:color="auto"/>
      </w:divBdr>
    </w:div>
    <w:div w:id="1480805759">
      <w:bodyDiv w:val="1"/>
      <w:marLeft w:val="0"/>
      <w:marRight w:val="0"/>
      <w:marTop w:val="0"/>
      <w:marBottom w:val="0"/>
      <w:divBdr>
        <w:top w:val="none" w:sz="0" w:space="0" w:color="auto"/>
        <w:left w:val="none" w:sz="0" w:space="0" w:color="auto"/>
        <w:bottom w:val="none" w:sz="0" w:space="0" w:color="auto"/>
        <w:right w:val="none" w:sz="0" w:space="0" w:color="auto"/>
      </w:divBdr>
    </w:div>
    <w:div w:id="1484662564">
      <w:bodyDiv w:val="1"/>
      <w:marLeft w:val="0"/>
      <w:marRight w:val="0"/>
      <w:marTop w:val="0"/>
      <w:marBottom w:val="0"/>
      <w:divBdr>
        <w:top w:val="none" w:sz="0" w:space="0" w:color="auto"/>
        <w:left w:val="none" w:sz="0" w:space="0" w:color="auto"/>
        <w:bottom w:val="none" w:sz="0" w:space="0" w:color="auto"/>
        <w:right w:val="none" w:sz="0" w:space="0" w:color="auto"/>
      </w:divBdr>
    </w:div>
    <w:div w:id="1622223107">
      <w:bodyDiv w:val="1"/>
      <w:marLeft w:val="0"/>
      <w:marRight w:val="0"/>
      <w:marTop w:val="0"/>
      <w:marBottom w:val="0"/>
      <w:divBdr>
        <w:top w:val="none" w:sz="0" w:space="0" w:color="auto"/>
        <w:left w:val="none" w:sz="0" w:space="0" w:color="auto"/>
        <w:bottom w:val="none" w:sz="0" w:space="0" w:color="auto"/>
        <w:right w:val="none" w:sz="0" w:space="0" w:color="auto"/>
      </w:divBdr>
    </w:div>
    <w:div w:id="1659770325">
      <w:bodyDiv w:val="1"/>
      <w:marLeft w:val="0"/>
      <w:marRight w:val="0"/>
      <w:marTop w:val="0"/>
      <w:marBottom w:val="0"/>
      <w:divBdr>
        <w:top w:val="none" w:sz="0" w:space="0" w:color="auto"/>
        <w:left w:val="none" w:sz="0" w:space="0" w:color="auto"/>
        <w:bottom w:val="none" w:sz="0" w:space="0" w:color="auto"/>
        <w:right w:val="none" w:sz="0" w:space="0" w:color="auto"/>
      </w:divBdr>
    </w:div>
    <w:div w:id="1670718411">
      <w:bodyDiv w:val="1"/>
      <w:marLeft w:val="0"/>
      <w:marRight w:val="0"/>
      <w:marTop w:val="0"/>
      <w:marBottom w:val="0"/>
      <w:divBdr>
        <w:top w:val="none" w:sz="0" w:space="0" w:color="auto"/>
        <w:left w:val="none" w:sz="0" w:space="0" w:color="auto"/>
        <w:bottom w:val="none" w:sz="0" w:space="0" w:color="auto"/>
        <w:right w:val="none" w:sz="0" w:space="0" w:color="auto"/>
      </w:divBdr>
    </w:div>
    <w:div w:id="1761414422">
      <w:bodyDiv w:val="1"/>
      <w:marLeft w:val="0"/>
      <w:marRight w:val="0"/>
      <w:marTop w:val="0"/>
      <w:marBottom w:val="0"/>
      <w:divBdr>
        <w:top w:val="none" w:sz="0" w:space="0" w:color="auto"/>
        <w:left w:val="none" w:sz="0" w:space="0" w:color="auto"/>
        <w:bottom w:val="none" w:sz="0" w:space="0" w:color="auto"/>
        <w:right w:val="none" w:sz="0" w:space="0" w:color="auto"/>
      </w:divBdr>
    </w:div>
    <w:div w:id="1796021571">
      <w:bodyDiv w:val="1"/>
      <w:marLeft w:val="0"/>
      <w:marRight w:val="0"/>
      <w:marTop w:val="0"/>
      <w:marBottom w:val="0"/>
      <w:divBdr>
        <w:top w:val="none" w:sz="0" w:space="0" w:color="auto"/>
        <w:left w:val="none" w:sz="0" w:space="0" w:color="auto"/>
        <w:bottom w:val="none" w:sz="0" w:space="0" w:color="auto"/>
        <w:right w:val="none" w:sz="0" w:space="0" w:color="auto"/>
      </w:divBdr>
    </w:div>
    <w:div w:id="1847163140">
      <w:bodyDiv w:val="1"/>
      <w:marLeft w:val="0"/>
      <w:marRight w:val="0"/>
      <w:marTop w:val="0"/>
      <w:marBottom w:val="0"/>
      <w:divBdr>
        <w:top w:val="none" w:sz="0" w:space="0" w:color="auto"/>
        <w:left w:val="none" w:sz="0" w:space="0" w:color="auto"/>
        <w:bottom w:val="none" w:sz="0" w:space="0" w:color="auto"/>
        <w:right w:val="none" w:sz="0" w:space="0" w:color="auto"/>
      </w:divBdr>
    </w:div>
    <w:div w:id="1901668681">
      <w:bodyDiv w:val="1"/>
      <w:marLeft w:val="0"/>
      <w:marRight w:val="0"/>
      <w:marTop w:val="0"/>
      <w:marBottom w:val="0"/>
      <w:divBdr>
        <w:top w:val="none" w:sz="0" w:space="0" w:color="auto"/>
        <w:left w:val="none" w:sz="0" w:space="0" w:color="auto"/>
        <w:bottom w:val="none" w:sz="0" w:space="0" w:color="auto"/>
        <w:right w:val="none" w:sz="0" w:space="0" w:color="auto"/>
      </w:divBdr>
    </w:div>
    <w:div w:id="1959339111">
      <w:bodyDiv w:val="1"/>
      <w:marLeft w:val="0"/>
      <w:marRight w:val="0"/>
      <w:marTop w:val="0"/>
      <w:marBottom w:val="0"/>
      <w:divBdr>
        <w:top w:val="none" w:sz="0" w:space="0" w:color="auto"/>
        <w:left w:val="none" w:sz="0" w:space="0" w:color="auto"/>
        <w:bottom w:val="none" w:sz="0" w:space="0" w:color="auto"/>
        <w:right w:val="none" w:sz="0" w:space="0" w:color="auto"/>
      </w:divBdr>
    </w:div>
    <w:div w:id="1979997188">
      <w:bodyDiv w:val="1"/>
      <w:marLeft w:val="0"/>
      <w:marRight w:val="0"/>
      <w:marTop w:val="0"/>
      <w:marBottom w:val="0"/>
      <w:divBdr>
        <w:top w:val="none" w:sz="0" w:space="0" w:color="auto"/>
        <w:left w:val="none" w:sz="0" w:space="0" w:color="auto"/>
        <w:bottom w:val="none" w:sz="0" w:space="0" w:color="auto"/>
        <w:right w:val="none" w:sz="0" w:space="0" w:color="auto"/>
      </w:divBdr>
    </w:div>
    <w:div w:id="2019699181">
      <w:bodyDiv w:val="1"/>
      <w:marLeft w:val="0"/>
      <w:marRight w:val="0"/>
      <w:marTop w:val="0"/>
      <w:marBottom w:val="0"/>
      <w:divBdr>
        <w:top w:val="none" w:sz="0" w:space="0" w:color="auto"/>
        <w:left w:val="none" w:sz="0" w:space="0" w:color="auto"/>
        <w:bottom w:val="none" w:sz="0" w:space="0" w:color="auto"/>
        <w:right w:val="none" w:sz="0" w:space="0" w:color="auto"/>
      </w:divBdr>
    </w:div>
    <w:div w:id="2050688176">
      <w:bodyDiv w:val="1"/>
      <w:marLeft w:val="0"/>
      <w:marRight w:val="0"/>
      <w:marTop w:val="0"/>
      <w:marBottom w:val="0"/>
      <w:divBdr>
        <w:top w:val="none" w:sz="0" w:space="0" w:color="auto"/>
        <w:left w:val="none" w:sz="0" w:space="0" w:color="auto"/>
        <w:bottom w:val="none" w:sz="0" w:space="0" w:color="auto"/>
        <w:right w:val="none" w:sz="0" w:space="0" w:color="auto"/>
      </w:divBdr>
    </w:div>
    <w:div w:id="2077236692">
      <w:bodyDiv w:val="1"/>
      <w:marLeft w:val="0"/>
      <w:marRight w:val="0"/>
      <w:marTop w:val="0"/>
      <w:marBottom w:val="0"/>
      <w:divBdr>
        <w:top w:val="none" w:sz="0" w:space="0" w:color="auto"/>
        <w:left w:val="none" w:sz="0" w:space="0" w:color="auto"/>
        <w:bottom w:val="none" w:sz="0" w:space="0" w:color="auto"/>
        <w:right w:val="none" w:sz="0" w:space="0" w:color="auto"/>
      </w:divBdr>
    </w:div>
    <w:div w:id="21173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mpras.gov.br" TargetMode="External"/><Relationship Id="rId18" Type="http://schemas.openxmlformats.org/officeDocument/2006/relationships/hyperlink" Target="http://www.compras.gov.br" TargetMode="External"/><Relationship Id="rId26" Type="http://schemas.openxmlformats.org/officeDocument/2006/relationships/hyperlink" Target="http://www.compras.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compras.gov.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compras.gov.br" TargetMode="External"/><Relationship Id="rId29" Type="http://schemas.openxmlformats.org/officeDocument/2006/relationships/hyperlink" Target="http://www.compras.gov.br" TargetMode="External"/><Relationship Id="rId11" Type="http://schemas.openxmlformats.org/officeDocument/2006/relationships/hyperlink" Target="http://www.compras.gov.br" TargetMode="External"/><Relationship Id="rId24" Type="http://schemas.openxmlformats.org/officeDocument/2006/relationships/hyperlink" Target="http://www.compras.gov.br" TargetMode="External"/><Relationship Id="rId32" Type="http://schemas.openxmlformats.org/officeDocument/2006/relationships/hyperlink" Target="http://www.compras.gov.br"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Constituicao/Constituicao.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compras.gov.br" TargetMode="External"/><Relationship Id="rId19" Type="http://schemas.openxmlformats.org/officeDocument/2006/relationships/hyperlink" Target="http://www.compras.gov.br" TargetMode="External"/><Relationship Id="rId31" Type="http://schemas.openxmlformats.org/officeDocument/2006/relationships/hyperlink" Target="http://www.compras.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comprasgov.com.br" TargetMode="External"/><Relationship Id="rId4" Type="http://schemas.openxmlformats.org/officeDocument/2006/relationships/settings" Target="settings.xml"/><Relationship Id="rId9" Type="http://schemas.openxmlformats.org/officeDocument/2006/relationships/hyperlink" Target="http://www.compras.gov.br" TargetMode="External"/><Relationship Id="rId14" Type="http://schemas.openxmlformats.org/officeDocument/2006/relationships/hyperlink" Target="http://www.compras.gov.br" TargetMode="External"/><Relationship Id="rId22" Type="http://schemas.openxmlformats.org/officeDocument/2006/relationships/hyperlink" Target="http://www.compras.gov.br" TargetMode="External"/><Relationship Id="rId27" Type="http://schemas.openxmlformats.org/officeDocument/2006/relationships/hyperlink" Target="http://www.compras.gov.br" TargetMode="External"/><Relationship Id="rId30" Type="http://schemas.openxmlformats.org/officeDocument/2006/relationships/hyperlink" Target="http://municipios.tce.ce.gov.br/transparencia/"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oter" Target="footer2.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compras.gov.br" TargetMode="External"/><Relationship Id="rId17" Type="http://schemas.openxmlformats.org/officeDocument/2006/relationships/hyperlink" Target="http://www.compras.gov.br" TargetMode="External"/><Relationship Id="rId25" Type="http://schemas.openxmlformats.org/officeDocument/2006/relationships/hyperlink" Target="http://www.compras.gov.br" TargetMode="External"/><Relationship Id="rId33" Type="http://schemas.openxmlformats.org/officeDocument/2006/relationships/hyperlink" Target="http://www.compras.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compras.gov.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mpras.gov.br" TargetMode="External"/><Relationship Id="rId23" Type="http://schemas.openxmlformats.org/officeDocument/2006/relationships/hyperlink" Target="http://www.compras.gov.br" TargetMode="External"/><Relationship Id="rId28" Type="http://schemas.openxmlformats.org/officeDocument/2006/relationships/hyperlink" Target="http://www.compras.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gabinete@miraima.ce.gov.br" TargetMode="External"/><Relationship Id="rId2" Type="http://schemas.openxmlformats.org/officeDocument/2006/relationships/image" Target="file:///C:\Documents%20and%20Settings\Administrador\Meus%20documentos\Minhas%20imagens\logomarcadeirau&#231;ubaAPROVADO.jpg" TargetMode="External"/><Relationship Id="rId1" Type="http://schemas.openxmlformats.org/officeDocument/2006/relationships/image" Target="media/image2.jpeg"/><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1173E-19F0-461D-AF64-DD754E6CC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3273</TotalTime>
  <Pages>75</Pages>
  <Words>32319</Words>
  <Characters>174525</Characters>
  <Application>Microsoft Office Word</Application>
  <DocSecurity>0</DocSecurity>
  <Lines>1454</Lines>
  <Paragraphs>412</Paragraphs>
  <ScaleCrop>false</ScaleCrop>
  <HeadingPairs>
    <vt:vector size="2" baseType="variant">
      <vt:variant>
        <vt:lpstr>Título</vt:lpstr>
      </vt:variant>
      <vt:variant>
        <vt:i4>1</vt:i4>
      </vt:variant>
    </vt:vector>
  </HeadingPairs>
  <TitlesOfParts>
    <vt:vector size="1" baseType="lpstr">
      <vt:lpstr>Minuta Edital</vt:lpstr>
    </vt:vector>
  </TitlesOfParts>
  <Company/>
  <LinksUpToDate>false</LinksUpToDate>
  <CharactersWithSpaces>206432</CharactersWithSpaces>
  <SharedDoc>false</SharedDoc>
  <HLinks>
    <vt:vector size="432" baseType="variant">
      <vt:variant>
        <vt:i4>8126566</vt:i4>
      </vt:variant>
      <vt:variant>
        <vt:i4>273</vt:i4>
      </vt:variant>
      <vt:variant>
        <vt:i4>0</vt:i4>
      </vt:variant>
      <vt:variant>
        <vt:i4>5</vt:i4>
      </vt:variant>
      <vt:variant>
        <vt:lpwstr>https://pncp.gov.br/app/pca/07735178000120/2024</vt:lpwstr>
      </vt:variant>
      <vt:variant>
        <vt:lpwstr/>
      </vt:variant>
      <vt:variant>
        <vt:i4>2293828</vt:i4>
      </vt:variant>
      <vt:variant>
        <vt:i4>270</vt:i4>
      </vt:variant>
      <vt:variant>
        <vt:i4>0</vt:i4>
      </vt:variant>
      <vt:variant>
        <vt:i4>5</vt:i4>
      </vt:variant>
      <vt:variant>
        <vt:lpwstr>http://www.planalto.gov.br/ccivil_03/Constituicao/Constituicao.htm</vt:lpwstr>
      </vt:variant>
      <vt:variant>
        <vt:lpwstr>art7xxxiii</vt:lpwstr>
      </vt:variant>
      <vt:variant>
        <vt:i4>5701663</vt:i4>
      </vt:variant>
      <vt:variant>
        <vt:i4>267</vt:i4>
      </vt:variant>
      <vt:variant>
        <vt:i4>0</vt:i4>
      </vt:variant>
      <vt:variant>
        <vt:i4>5</vt:i4>
      </vt:variant>
      <vt:variant>
        <vt:lpwstr>http://portal.esocial.gov.br/manuaisqleiaute cqc em lote.pdf</vt:lpwstr>
      </vt:variant>
      <vt:variant>
        <vt:lpwstr/>
      </vt:variant>
      <vt:variant>
        <vt:i4>6291577</vt:i4>
      </vt:variant>
      <vt:variant>
        <vt:i4>264</vt:i4>
      </vt:variant>
      <vt:variant>
        <vt:i4>0</vt:i4>
      </vt:variant>
      <vt:variant>
        <vt:i4>5</vt:i4>
      </vt:variant>
      <vt:variant>
        <vt:lpwstr>https://esociallot.dataprev.gov.br/</vt:lpwstr>
      </vt:variant>
      <vt:variant>
        <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2228323</vt:i4>
      </vt:variant>
      <vt:variant>
        <vt:i4>258</vt:i4>
      </vt:variant>
      <vt:variant>
        <vt:i4>0</vt:i4>
      </vt:variant>
      <vt:variant>
        <vt:i4>5</vt:i4>
      </vt:variant>
      <vt:variant>
        <vt:lpwstr>http://www.planalto.gov.br/ccivil_03/_ato2019-2022/2021/lei/L14133.htm</vt:lpwstr>
      </vt:variant>
      <vt:variant>
        <vt:lpwstr>art92</vt:lpwstr>
      </vt:variant>
      <vt:variant>
        <vt:i4>1769552</vt:i4>
      </vt:variant>
      <vt:variant>
        <vt:i4>255</vt:i4>
      </vt:variant>
      <vt:variant>
        <vt:i4>0</vt:i4>
      </vt:variant>
      <vt:variant>
        <vt:i4>5</vt:i4>
      </vt:variant>
      <vt:variant>
        <vt:lpwstr>http://www.planalto.gov.br/ccivil_03/_ato2019-2022/2021/lei/L14133.htm</vt:lpwstr>
      </vt:variant>
      <vt:variant>
        <vt:lpwstr>art131</vt:lpwstr>
      </vt:variant>
      <vt:variant>
        <vt:i4>1179728</vt:i4>
      </vt:variant>
      <vt:variant>
        <vt:i4>252</vt:i4>
      </vt:variant>
      <vt:variant>
        <vt:i4>0</vt:i4>
      </vt:variant>
      <vt:variant>
        <vt:i4>5</vt:i4>
      </vt:variant>
      <vt:variant>
        <vt:lpwstr>http://www.planalto.gov.br/ccivil_03/_ato2019-2022/2021/lei/L14133.htm</vt:lpwstr>
      </vt:variant>
      <vt:variant>
        <vt:lpwstr>art138</vt:lpwstr>
      </vt:variant>
      <vt:variant>
        <vt:i4>1900624</vt:i4>
      </vt:variant>
      <vt:variant>
        <vt:i4>249</vt:i4>
      </vt:variant>
      <vt:variant>
        <vt:i4>0</vt:i4>
      </vt:variant>
      <vt:variant>
        <vt:i4>5</vt:i4>
      </vt:variant>
      <vt:variant>
        <vt:lpwstr>http://www.planalto.gov.br/ccivil_03/_ato2019-2022/2021/lei/L14133.htm</vt:lpwstr>
      </vt:variant>
      <vt:variant>
        <vt:lpwstr>art137</vt:lpwstr>
      </vt:variant>
      <vt:variant>
        <vt:i4>2228323</vt:i4>
      </vt:variant>
      <vt:variant>
        <vt:i4>246</vt:i4>
      </vt:variant>
      <vt:variant>
        <vt:i4>0</vt:i4>
      </vt:variant>
      <vt:variant>
        <vt:i4>5</vt:i4>
      </vt:variant>
      <vt:variant>
        <vt:lpwstr>http://www.planalto.gov.br/ccivil_03/_ato2019-2022/2021/lei/L14133.htm</vt:lpwstr>
      </vt:variant>
      <vt:variant>
        <vt:lpwstr>art92</vt:lpwstr>
      </vt:variant>
      <vt:variant>
        <vt:i4>6225991</vt:i4>
      </vt:variant>
      <vt:variant>
        <vt:i4>243</vt:i4>
      </vt:variant>
      <vt:variant>
        <vt:i4>0</vt:i4>
      </vt:variant>
      <vt:variant>
        <vt:i4>5</vt:i4>
      </vt:variant>
      <vt:variant>
        <vt:lpwstr>http://www.planalto.gov.br/ccivil_03/_ato2019-2022/2021/lei/L14133.htm</vt:lpwstr>
      </vt:variant>
      <vt:variant>
        <vt:lpwstr>163</vt:lpwstr>
      </vt:variant>
      <vt:variant>
        <vt:i4>1769557</vt:i4>
      </vt:variant>
      <vt:variant>
        <vt:i4>240</vt:i4>
      </vt:variant>
      <vt:variant>
        <vt:i4>0</vt:i4>
      </vt:variant>
      <vt:variant>
        <vt:i4>5</vt:i4>
      </vt:variant>
      <vt:variant>
        <vt:lpwstr>http://www.planalto.gov.br/ccivil_03/_ato2019-2022/2021/lei/L14133.htm</vt:lpwstr>
      </vt:variant>
      <vt:variant>
        <vt:lpwstr>art161</vt:lpwstr>
      </vt:variant>
      <vt:variant>
        <vt:i4>1704021</vt:i4>
      </vt:variant>
      <vt:variant>
        <vt:i4>237</vt:i4>
      </vt:variant>
      <vt:variant>
        <vt:i4>0</vt:i4>
      </vt:variant>
      <vt:variant>
        <vt:i4>5</vt:i4>
      </vt:variant>
      <vt:variant>
        <vt:lpwstr>http://www.planalto.gov.br/ccivil_03/_ato2019-2022/2021/lei/L14133.htm</vt:lpwstr>
      </vt:variant>
      <vt:variant>
        <vt:lpwstr>art160</vt:lpwstr>
      </vt:variant>
      <vt:variant>
        <vt:i4>8060965</vt:i4>
      </vt:variant>
      <vt:variant>
        <vt:i4>234</vt:i4>
      </vt:variant>
      <vt:variant>
        <vt:i4>0</vt:i4>
      </vt:variant>
      <vt:variant>
        <vt:i4>5</vt:i4>
      </vt:variant>
      <vt:variant>
        <vt:lpwstr>http://www.planalto.gov.br/ccivil_03/_ato2019-2022/2021/lei/L14133.htm%25art159</vt:lpwstr>
      </vt:variant>
      <vt:variant>
        <vt:lpwstr/>
      </vt:variant>
      <vt:variant>
        <vt:i4>6684774</vt:i4>
      </vt:variant>
      <vt:variant>
        <vt:i4>231</vt:i4>
      </vt:variant>
      <vt:variant>
        <vt:i4>0</vt:i4>
      </vt:variant>
      <vt:variant>
        <vt:i4>5</vt:i4>
      </vt:variant>
      <vt:variant>
        <vt:lpwstr>https://www.planalto.gov.br/ccivil_03/_ato2011-2014/2013/lei/l12846.htm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2949361</vt:i4>
      </vt:variant>
      <vt:variant>
        <vt:i4>225</vt:i4>
      </vt:variant>
      <vt:variant>
        <vt:i4>0</vt:i4>
      </vt:variant>
      <vt:variant>
        <vt:i4>5</vt:i4>
      </vt:variant>
      <vt:variant>
        <vt:lpwstr>http://www.planalto.gov.br/ccivil_03/_ato2019-2022/2021/lei/L14133.htm</vt:lpwstr>
      </vt:variant>
      <vt:variant>
        <vt:lpwstr>art156§1</vt:lpwstr>
      </vt:variant>
      <vt:variant>
        <vt:i4>1179734</vt:i4>
      </vt:variant>
      <vt:variant>
        <vt:i4>222</vt:i4>
      </vt:variant>
      <vt:variant>
        <vt:i4>0</vt:i4>
      </vt:variant>
      <vt:variant>
        <vt:i4>5</vt:i4>
      </vt:variant>
      <vt:variant>
        <vt:lpwstr>http://www.planalto.gov.br/ccivil_03/_ato2019-2022/2021/lei/L14133.htm</vt:lpwstr>
      </vt:variant>
      <vt:variant>
        <vt:lpwstr>art158</vt:lpwstr>
      </vt:variant>
      <vt:variant>
        <vt:i4>2359537</vt:i4>
      </vt:variant>
      <vt:variant>
        <vt:i4>219</vt:i4>
      </vt:variant>
      <vt:variant>
        <vt:i4>0</vt:i4>
      </vt:variant>
      <vt:variant>
        <vt:i4>5</vt:i4>
      </vt:variant>
      <vt:variant>
        <vt:lpwstr>http://www.planalto.gov.br/ccivil_03/_ato2019-2022/2021/lei/L14133.htm</vt:lpwstr>
      </vt:variant>
      <vt:variant>
        <vt:lpwstr>art156§8</vt:lpwstr>
      </vt:variant>
      <vt:variant>
        <vt:i4>1900630</vt:i4>
      </vt:variant>
      <vt:variant>
        <vt:i4>216</vt:i4>
      </vt:variant>
      <vt:variant>
        <vt:i4>0</vt:i4>
      </vt:variant>
      <vt:variant>
        <vt:i4>5</vt:i4>
      </vt:variant>
      <vt:variant>
        <vt:lpwstr>http://www.planalto.gov.br/ccivil_03/_ato2019-2022/2021/lei/L14133.htm</vt:lpwstr>
      </vt:variant>
      <vt:variant>
        <vt:lpwstr>art157</vt:lpwstr>
      </vt:variant>
      <vt:variant>
        <vt:i4>2818289</vt:i4>
      </vt:variant>
      <vt:variant>
        <vt:i4>213</vt:i4>
      </vt:variant>
      <vt:variant>
        <vt:i4>0</vt:i4>
      </vt:variant>
      <vt:variant>
        <vt:i4>5</vt:i4>
      </vt:variant>
      <vt:variant>
        <vt:lpwstr>http://www.planalto.gov.br/ccivil_03/_ato2019-2022/2021/lei/L14133.htm</vt:lpwstr>
      </vt:variant>
      <vt:variant>
        <vt:lpwstr>art156§7</vt:lpwstr>
      </vt:variant>
      <vt:variant>
        <vt:i4>2425073</vt:i4>
      </vt:variant>
      <vt:variant>
        <vt:i4>210</vt:i4>
      </vt:variant>
      <vt:variant>
        <vt:i4>0</vt:i4>
      </vt:variant>
      <vt:variant>
        <vt:i4>5</vt:i4>
      </vt:variant>
      <vt:variant>
        <vt:lpwstr>http://www.planalto.gov.br/ccivil_03/_ato2019-2022/2021/lei/L14133.htm</vt:lpwstr>
      </vt:variant>
      <vt:variant>
        <vt:lpwstr>art156§9</vt:lpwstr>
      </vt:variant>
      <vt:variant>
        <vt:i4>2687217</vt:i4>
      </vt:variant>
      <vt:variant>
        <vt:i4>207</vt:i4>
      </vt:variant>
      <vt:variant>
        <vt:i4>0</vt:i4>
      </vt:variant>
      <vt:variant>
        <vt:i4>5</vt:i4>
      </vt:variant>
      <vt:variant>
        <vt:lpwstr>http://www.planalto.gov.br/ccivil_03/_ato2019-2022/2021/lei/L14133.htm</vt:lpwstr>
      </vt:variant>
      <vt:variant>
        <vt:lpwstr>art156§5</vt:lpwstr>
      </vt:variant>
      <vt:variant>
        <vt:i4>2621681</vt:i4>
      </vt:variant>
      <vt:variant>
        <vt:i4>204</vt:i4>
      </vt:variant>
      <vt:variant>
        <vt:i4>0</vt:i4>
      </vt:variant>
      <vt:variant>
        <vt:i4>5</vt:i4>
      </vt:variant>
      <vt:variant>
        <vt:lpwstr>http://www.planalto.gov.br/ccivil_03/_ato2019-2022/2021/lei/L14133.htm</vt:lpwstr>
      </vt:variant>
      <vt:variant>
        <vt:lpwstr>art156§4</vt:lpwstr>
      </vt:variant>
      <vt:variant>
        <vt:i4>3014897</vt:i4>
      </vt:variant>
      <vt:variant>
        <vt:i4>201</vt:i4>
      </vt:variant>
      <vt:variant>
        <vt:i4>0</vt:i4>
      </vt:variant>
      <vt:variant>
        <vt:i4>5</vt:i4>
      </vt:variant>
      <vt:variant>
        <vt:lpwstr>http://www.planalto.gov.br/ccivil_03/_ato2019-2022/2021/lei/L14133.htm</vt:lpwstr>
      </vt:variant>
      <vt:variant>
        <vt:lpwstr>art156§2</vt:lpwstr>
      </vt:variant>
      <vt:variant>
        <vt:i4>2162803</vt:i4>
      </vt:variant>
      <vt:variant>
        <vt:i4>198</vt:i4>
      </vt:variant>
      <vt:variant>
        <vt:i4>0</vt:i4>
      </vt:variant>
      <vt:variant>
        <vt:i4>5</vt:i4>
      </vt:variant>
      <vt:variant>
        <vt:lpwstr>https://www.planalto.gov.br/ccivil_03/_ato2011-2014/2013/lei/l12846.htm</vt:lpwstr>
      </vt:variant>
      <vt:variant>
        <vt:lpwstr>art5</vt:lpwstr>
      </vt:variant>
      <vt:variant>
        <vt:i4>6881398</vt:i4>
      </vt:variant>
      <vt:variant>
        <vt:i4>195</vt:i4>
      </vt:variant>
      <vt:variant>
        <vt:i4>0</vt:i4>
      </vt:variant>
      <vt:variant>
        <vt:i4>5</vt:i4>
      </vt:variant>
      <vt:variant>
        <vt:lpwstr>http://www.planalto.gov.br/ccivil_03/_ato2019-2022/2021/lei/L14133.htm</vt:lpwstr>
      </vt:variant>
      <vt:variant>
        <vt:lpwstr/>
      </vt:variant>
      <vt:variant>
        <vt:i4>2162803</vt:i4>
      </vt:variant>
      <vt:variant>
        <vt:i4>192</vt:i4>
      </vt:variant>
      <vt:variant>
        <vt:i4>0</vt:i4>
      </vt:variant>
      <vt:variant>
        <vt:i4>5</vt:i4>
      </vt:variant>
      <vt:variant>
        <vt:lpwstr>https://www.planalto.gov.br/ccivil_03/_ato2011-2014/2013/lei/l12846.htm</vt:lpwstr>
      </vt:variant>
      <vt:variant>
        <vt:lpwstr>art5</vt:lpwstr>
      </vt:variant>
      <vt:variant>
        <vt:i4>6881398</vt:i4>
      </vt:variant>
      <vt:variant>
        <vt:i4>189</vt:i4>
      </vt:variant>
      <vt:variant>
        <vt:i4>0</vt:i4>
      </vt:variant>
      <vt:variant>
        <vt:i4>5</vt:i4>
      </vt:variant>
      <vt:variant>
        <vt:lpwstr>http://www.planalto.gov.br/ccivil_03/_ato2019-2022/2021/lei/L14133.htm</vt:lpwstr>
      </vt:variant>
      <vt:variant>
        <vt:lpwstr/>
      </vt:variant>
      <vt:variant>
        <vt:i4>2228323</vt:i4>
      </vt:variant>
      <vt:variant>
        <vt:i4>186</vt:i4>
      </vt:variant>
      <vt:variant>
        <vt:i4>0</vt:i4>
      </vt:variant>
      <vt:variant>
        <vt:i4>5</vt:i4>
      </vt:variant>
      <vt:variant>
        <vt:lpwstr>http://www.planalto.gov.br/ccivil_03/_ato2019-2022/2021/lei/L14133.htm</vt:lpwstr>
      </vt:variant>
      <vt:variant>
        <vt:lpwstr>art92</vt:lpwstr>
      </vt:variant>
      <vt:variant>
        <vt:i4>1966161</vt:i4>
      </vt:variant>
      <vt:variant>
        <vt:i4>183</vt:i4>
      </vt:variant>
      <vt:variant>
        <vt:i4>0</vt:i4>
      </vt:variant>
      <vt:variant>
        <vt:i4>5</vt:i4>
      </vt:variant>
      <vt:variant>
        <vt:lpwstr>http://www.planalto.gov.br/ccivil_03/_ato2019-2022/2021/lei/L14133.htm</vt:lpwstr>
      </vt:variant>
      <vt:variant>
        <vt:lpwstr>art124</vt:lpwstr>
      </vt:variant>
      <vt:variant>
        <vt:i4>1835090</vt:i4>
      </vt:variant>
      <vt:variant>
        <vt:i4>180</vt:i4>
      </vt:variant>
      <vt:variant>
        <vt:i4>0</vt:i4>
      </vt:variant>
      <vt:variant>
        <vt:i4>5</vt:i4>
      </vt:variant>
      <vt:variant>
        <vt:lpwstr>http://www.planalto.gov.br/ccivil_03/_ato2019-2022/2021/lei/L14133.htm</vt:lpwstr>
      </vt:variant>
      <vt:variant>
        <vt:lpwstr>art116</vt:lpwstr>
      </vt:variant>
      <vt:variant>
        <vt:i4>1835090</vt:i4>
      </vt:variant>
      <vt:variant>
        <vt:i4>177</vt:i4>
      </vt:variant>
      <vt:variant>
        <vt:i4>0</vt:i4>
      </vt:variant>
      <vt:variant>
        <vt:i4>5</vt:i4>
      </vt:variant>
      <vt:variant>
        <vt:lpwstr>http://www.planalto.gov.br/ccivil_03/_ato2019-2022/2021/lei/L14133.htm</vt:lpwstr>
      </vt:variant>
      <vt:variant>
        <vt:lpwstr>art116</vt:lpwstr>
      </vt:variant>
      <vt:variant>
        <vt:i4>1900624</vt:i4>
      </vt:variant>
      <vt:variant>
        <vt:i4>174</vt:i4>
      </vt:variant>
      <vt:variant>
        <vt:i4>0</vt:i4>
      </vt:variant>
      <vt:variant>
        <vt:i4>5</vt:i4>
      </vt:variant>
      <vt:variant>
        <vt:lpwstr>http://www.planalto.gov.br/ccivil_03/_ato2019-2022/2021/lei/L14133.htm</vt:lpwstr>
      </vt:variant>
      <vt:variant>
        <vt:lpwstr>art137</vt:lpwstr>
      </vt:variant>
      <vt:variant>
        <vt:i4>4980850</vt:i4>
      </vt:variant>
      <vt:variant>
        <vt:i4>171</vt:i4>
      </vt:variant>
      <vt:variant>
        <vt:i4>0</vt:i4>
      </vt:variant>
      <vt:variant>
        <vt:i4>5</vt:i4>
      </vt:variant>
      <vt:variant>
        <vt:lpwstr>https://www.planalto.gov.br/ccivil_03/leis/l8078compilado.htm</vt:lpwstr>
      </vt:variant>
      <vt:variant>
        <vt:lpwstr/>
      </vt:variant>
      <vt:variant>
        <vt:i4>2228323</vt:i4>
      </vt:variant>
      <vt:variant>
        <vt:i4>168</vt:i4>
      </vt:variant>
      <vt:variant>
        <vt:i4>0</vt:i4>
      </vt:variant>
      <vt:variant>
        <vt:i4>5</vt:i4>
      </vt:variant>
      <vt:variant>
        <vt:lpwstr>http://www.planalto.gov.br/ccivil_03/_ato2019-2022/2021/lei/L14133.htm</vt:lpwstr>
      </vt:variant>
      <vt:variant>
        <vt:lpwstr>art92</vt:lpwstr>
      </vt:variant>
      <vt:variant>
        <vt:i4>1638487</vt:i4>
      </vt:variant>
      <vt:variant>
        <vt:i4>165</vt:i4>
      </vt:variant>
      <vt:variant>
        <vt:i4>0</vt:i4>
      </vt:variant>
      <vt:variant>
        <vt:i4>5</vt:i4>
      </vt:variant>
      <vt:variant>
        <vt:lpwstr>http://www.planalto.gov.br/ccivil_03/_ato2019-2022/2021/lei/L14133.htm</vt:lpwstr>
      </vt:variant>
      <vt:variant>
        <vt:lpwstr>art143</vt:lpwstr>
      </vt:variant>
      <vt:variant>
        <vt:i4>2228323</vt:i4>
      </vt:variant>
      <vt:variant>
        <vt:i4>162</vt:i4>
      </vt:variant>
      <vt:variant>
        <vt:i4>0</vt:i4>
      </vt:variant>
      <vt:variant>
        <vt:i4>5</vt:i4>
      </vt:variant>
      <vt:variant>
        <vt:lpwstr>http://www.planalto.gov.br/ccivil_03/_ato2019-2022/2021/lei/L14133.htm</vt:lpwstr>
      </vt:variant>
      <vt:variant>
        <vt:lpwstr>art92</vt:lpwstr>
      </vt:variant>
      <vt:variant>
        <vt:i4>2883829</vt:i4>
      </vt:variant>
      <vt:variant>
        <vt:i4>159</vt:i4>
      </vt:variant>
      <vt:variant>
        <vt:i4>0</vt:i4>
      </vt:variant>
      <vt:variant>
        <vt:i4>5</vt:i4>
      </vt:variant>
      <vt:variant>
        <vt:lpwstr>http://www.planalto.gov.br/ccivil_03/_ato2019-2022/2021/lei/L14133.htm</vt:lpwstr>
      </vt:variant>
      <vt:variant>
        <vt:lpwstr>art117§1</vt:lpwstr>
      </vt:variant>
      <vt:variant>
        <vt:i4>1900626</vt:i4>
      </vt:variant>
      <vt:variant>
        <vt:i4>156</vt:i4>
      </vt:variant>
      <vt:variant>
        <vt:i4>0</vt:i4>
      </vt:variant>
      <vt:variant>
        <vt:i4>5</vt:i4>
      </vt:variant>
      <vt:variant>
        <vt:lpwstr>http://www.planalto.gov.br/ccivil_03/_ato2019-2022/2021/lei/L14133.htm</vt:lpwstr>
      </vt:variant>
      <vt:variant>
        <vt:lpwstr>art117</vt:lpwstr>
      </vt:variant>
      <vt:variant>
        <vt:i4>852025</vt:i4>
      </vt:variant>
      <vt:variant>
        <vt:i4>153</vt:i4>
      </vt:variant>
      <vt:variant>
        <vt:i4>0</vt:i4>
      </vt:variant>
      <vt:variant>
        <vt:i4>5</vt:i4>
      </vt:variant>
      <vt:variant>
        <vt:lpwstr>https://www.planalto.gov.br/ccivil_03/leis/lcp/lcp123.htm</vt:lpwstr>
      </vt:variant>
      <vt:variant>
        <vt:lpwstr/>
      </vt:variant>
      <vt:variant>
        <vt:i4>1638487</vt:i4>
      </vt:variant>
      <vt:variant>
        <vt:i4>150</vt:i4>
      </vt:variant>
      <vt:variant>
        <vt:i4>0</vt:i4>
      </vt:variant>
      <vt:variant>
        <vt:i4>5</vt:i4>
      </vt:variant>
      <vt:variant>
        <vt:lpwstr>http://www.planalto.gov.br/ccivil_03/_ato2019-2022/2021/lei/L14133.htm</vt:lpwstr>
      </vt:variant>
      <vt:variant>
        <vt:lpwstr>art143</vt:lpwstr>
      </vt:variant>
      <vt:variant>
        <vt:i4>2883683</vt:i4>
      </vt:variant>
      <vt:variant>
        <vt:i4>147</vt:i4>
      </vt:variant>
      <vt:variant>
        <vt:i4>0</vt:i4>
      </vt:variant>
      <vt:variant>
        <vt:i4>5</vt:i4>
      </vt:variant>
      <vt:variant>
        <vt:lpwstr>http://www.planalto.gov.br/ccivil_03/_ato2019-2022/2021/lei/L14133.htm</vt:lpwstr>
      </vt:variant>
      <vt:variant>
        <vt:lpwstr>art75</vt:lpwstr>
      </vt:variant>
      <vt:variant>
        <vt:i4>5701663</vt:i4>
      </vt:variant>
      <vt:variant>
        <vt:i4>144</vt:i4>
      </vt:variant>
      <vt:variant>
        <vt:i4>0</vt:i4>
      </vt:variant>
      <vt:variant>
        <vt:i4>5</vt:i4>
      </vt:variant>
      <vt:variant>
        <vt:lpwstr>http://portal.esocial.gov.br/manuaisqleiaute cqc em lote.pdf</vt:lpwstr>
      </vt:variant>
      <vt:variant>
        <vt:lpwstr/>
      </vt:variant>
      <vt:variant>
        <vt:i4>6291577</vt:i4>
      </vt:variant>
      <vt:variant>
        <vt:i4>141</vt:i4>
      </vt:variant>
      <vt:variant>
        <vt:i4>0</vt:i4>
      </vt:variant>
      <vt:variant>
        <vt:i4>5</vt:i4>
      </vt:variant>
      <vt:variant>
        <vt:lpwstr>https://esociallot.dataprev.gov.br/</vt:lpwstr>
      </vt:variant>
      <vt:variant>
        <vt:lpwstr/>
      </vt:variant>
      <vt:variant>
        <vt:i4>2162803</vt:i4>
      </vt:variant>
      <vt:variant>
        <vt:i4>138</vt:i4>
      </vt:variant>
      <vt:variant>
        <vt:i4>0</vt:i4>
      </vt:variant>
      <vt:variant>
        <vt:i4>5</vt:i4>
      </vt:variant>
      <vt:variant>
        <vt:lpwstr>https://www.planalto.gov.br/ccivil_03/_ato2011-2014/2013/lei/l12846.htm</vt:lpwstr>
      </vt:variant>
      <vt:variant>
        <vt:lpwstr>art5</vt:lpwstr>
      </vt:variant>
      <vt:variant>
        <vt:i4>6881398</vt:i4>
      </vt:variant>
      <vt:variant>
        <vt:i4>135</vt:i4>
      </vt:variant>
      <vt:variant>
        <vt:i4>0</vt:i4>
      </vt:variant>
      <vt:variant>
        <vt:i4>5</vt:i4>
      </vt:variant>
      <vt:variant>
        <vt:lpwstr>http://www.planalto.gov.br/ccivil_03/_ato2019-2022/2021/lei/L14133.htm</vt:lpwstr>
      </vt:variant>
      <vt:variant>
        <vt:lpwstr/>
      </vt:variant>
      <vt:variant>
        <vt:i4>3670121</vt:i4>
      </vt:variant>
      <vt:variant>
        <vt:i4>132</vt:i4>
      </vt:variant>
      <vt:variant>
        <vt:i4>0</vt:i4>
      </vt:variant>
      <vt:variant>
        <vt:i4>5</vt:i4>
      </vt:variant>
      <vt:variant>
        <vt:lpwstr>http://municipios.tce.ce.gov.br/transparencia/</vt:lpwstr>
      </vt:variant>
      <vt:variant>
        <vt:lpwstr/>
      </vt:variant>
      <vt:variant>
        <vt:i4>1441846</vt:i4>
      </vt:variant>
      <vt:variant>
        <vt:i4>129</vt:i4>
      </vt:variant>
      <vt:variant>
        <vt:i4>0</vt:i4>
      </vt:variant>
      <vt:variant>
        <vt:i4>5</vt:i4>
      </vt:variant>
      <vt:variant>
        <vt:lpwstr/>
      </vt:variant>
      <vt:variant>
        <vt:lpwstr>_Toc154043773</vt:lpwstr>
      </vt:variant>
      <vt:variant>
        <vt:i4>1441852</vt:i4>
      </vt:variant>
      <vt:variant>
        <vt:i4>122</vt:i4>
      </vt:variant>
      <vt:variant>
        <vt:i4>0</vt:i4>
      </vt:variant>
      <vt:variant>
        <vt:i4>5</vt:i4>
      </vt:variant>
      <vt:variant>
        <vt:lpwstr/>
      </vt:variant>
      <vt:variant>
        <vt:lpwstr>_Toc161741817</vt:lpwstr>
      </vt:variant>
      <vt:variant>
        <vt:i4>1441852</vt:i4>
      </vt:variant>
      <vt:variant>
        <vt:i4>116</vt:i4>
      </vt:variant>
      <vt:variant>
        <vt:i4>0</vt:i4>
      </vt:variant>
      <vt:variant>
        <vt:i4>5</vt:i4>
      </vt:variant>
      <vt:variant>
        <vt:lpwstr/>
      </vt:variant>
      <vt:variant>
        <vt:lpwstr>_Toc161741816</vt:lpwstr>
      </vt:variant>
      <vt:variant>
        <vt:i4>1441852</vt:i4>
      </vt:variant>
      <vt:variant>
        <vt:i4>110</vt:i4>
      </vt:variant>
      <vt:variant>
        <vt:i4>0</vt:i4>
      </vt:variant>
      <vt:variant>
        <vt:i4>5</vt:i4>
      </vt:variant>
      <vt:variant>
        <vt:lpwstr/>
      </vt:variant>
      <vt:variant>
        <vt:lpwstr>_Toc161741815</vt:lpwstr>
      </vt:variant>
      <vt:variant>
        <vt:i4>1441852</vt:i4>
      </vt:variant>
      <vt:variant>
        <vt:i4>104</vt:i4>
      </vt:variant>
      <vt:variant>
        <vt:i4>0</vt:i4>
      </vt:variant>
      <vt:variant>
        <vt:i4>5</vt:i4>
      </vt:variant>
      <vt:variant>
        <vt:lpwstr/>
      </vt:variant>
      <vt:variant>
        <vt:lpwstr>_Toc161741814</vt:lpwstr>
      </vt:variant>
      <vt:variant>
        <vt:i4>1441852</vt:i4>
      </vt:variant>
      <vt:variant>
        <vt:i4>98</vt:i4>
      </vt:variant>
      <vt:variant>
        <vt:i4>0</vt:i4>
      </vt:variant>
      <vt:variant>
        <vt:i4>5</vt:i4>
      </vt:variant>
      <vt:variant>
        <vt:lpwstr/>
      </vt:variant>
      <vt:variant>
        <vt:lpwstr>_Toc161741813</vt:lpwstr>
      </vt:variant>
      <vt:variant>
        <vt:i4>1441852</vt:i4>
      </vt:variant>
      <vt:variant>
        <vt:i4>92</vt:i4>
      </vt:variant>
      <vt:variant>
        <vt:i4>0</vt:i4>
      </vt:variant>
      <vt:variant>
        <vt:i4>5</vt:i4>
      </vt:variant>
      <vt:variant>
        <vt:lpwstr/>
      </vt:variant>
      <vt:variant>
        <vt:lpwstr>_Toc161741812</vt:lpwstr>
      </vt:variant>
      <vt:variant>
        <vt:i4>1441852</vt:i4>
      </vt:variant>
      <vt:variant>
        <vt:i4>86</vt:i4>
      </vt:variant>
      <vt:variant>
        <vt:i4>0</vt:i4>
      </vt:variant>
      <vt:variant>
        <vt:i4>5</vt:i4>
      </vt:variant>
      <vt:variant>
        <vt:lpwstr/>
      </vt:variant>
      <vt:variant>
        <vt:lpwstr>_Toc161741811</vt:lpwstr>
      </vt:variant>
      <vt:variant>
        <vt:i4>1441852</vt:i4>
      </vt:variant>
      <vt:variant>
        <vt:i4>80</vt:i4>
      </vt:variant>
      <vt:variant>
        <vt:i4>0</vt:i4>
      </vt:variant>
      <vt:variant>
        <vt:i4>5</vt:i4>
      </vt:variant>
      <vt:variant>
        <vt:lpwstr/>
      </vt:variant>
      <vt:variant>
        <vt:lpwstr>_Toc161741810</vt:lpwstr>
      </vt:variant>
      <vt:variant>
        <vt:i4>1507388</vt:i4>
      </vt:variant>
      <vt:variant>
        <vt:i4>74</vt:i4>
      </vt:variant>
      <vt:variant>
        <vt:i4>0</vt:i4>
      </vt:variant>
      <vt:variant>
        <vt:i4>5</vt:i4>
      </vt:variant>
      <vt:variant>
        <vt:lpwstr/>
      </vt:variant>
      <vt:variant>
        <vt:lpwstr>_Toc161741809</vt:lpwstr>
      </vt:variant>
      <vt:variant>
        <vt:i4>1507388</vt:i4>
      </vt:variant>
      <vt:variant>
        <vt:i4>68</vt:i4>
      </vt:variant>
      <vt:variant>
        <vt:i4>0</vt:i4>
      </vt:variant>
      <vt:variant>
        <vt:i4>5</vt:i4>
      </vt:variant>
      <vt:variant>
        <vt:lpwstr/>
      </vt:variant>
      <vt:variant>
        <vt:lpwstr>_Toc161741808</vt:lpwstr>
      </vt:variant>
      <vt:variant>
        <vt:i4>1507388</vt:i4>
      </vt:variant>
      <vt:variant>
        <vt:i4>62</vt:i4>
      </vt:variant>
      <vt:variant>
        <vt:i4>0</vt:i4>
      </vt:variant>
      <vt:variant>
        <vt:i4>5</vt:i4>
      </vt:variant>
      <vt:variant>
        <vt:lpwstr/>
      </vt:variant>
      <vt:variant>
        <vt:lpwstr>_Toc161741807</vt:lpwstr>
      </vt:variant>
      <vt:variant>
        <vt:i4>1507388</vt:i4>
      </vt:variant>
      <vt:variant>
        <vt:i4>56</vt:i4>
      </vt:variant>
      <vt:variant>
        <vt:i4>0</vt:i4>
      </vt:variant>
      <vt:variant>
        <vt:i4>5</vt:i4>
      </vt:variant>
      <vt:variant>
        <vt:lpwstr/>
      </vt:variant>
      <vt:variant>
        <vt:lpwstr>_Toc161741806</vt:lpwstr>
      </vt:variant>
      <vt:variant>
        <vt:i4>1507388</vt:i4>
      </vt:variant>
      <vt:variant>
        <vt:i4>50</vt:i4>
      </vt:variant>
      <vt:variant>
        <vt:i4>0</vt:i4>
      </vt:variant>
      <vt:variant>
        <vt:i4>5</vt:i4>
      </vt:variant>
      <vt:variant>
        <vt:lpwstr/>
      </vt:variant>
      <vt:variant>
        <vt:lpwstr>_Toc161741805</vt:lpwstr>
      </vt:variant>
      <vt:variant>
        <vt:i4>1507388</vt:i4>
      </vt:variant>
      <vt:variant>
        <vt:i4>44</vt:i4>
      </vt:variant>
      <vt:variant>
        <vt:i4>0</vt:i4>
      </vt:variant>
      <vt:variant>
        <vt:i4>5</vt:i4>
      </vt:variant>
      <vt:variant>
        <vt:lpwstr/>
      </vt:variant>
      <vt:variant>
        <vt:lpwstr>_Toc161741804</vt:lpwstr>
      </vt:variant>
      <vt:variant>
        <vt:i4>1507388</vt:i4>
      </vt:variant>
      <vt:variant>
        <vt:i4>38</vt:i4>
      </vt:variant>
      <vt:variant>
        <vt:i4>0</vt:i4>
      </vt:variant>
      <vt:variant>
        <vt:i4>5</vt:i4>
      </vt:variant>
      <vt:variant>
        <vt:lpwstr/>
      </vt:variant>
      <vt:variant>
        <vt:lpwstr>_Toc161741803</vt:lpwstr>
      </vt:variant>
      <vt:variant>
        <vt:i4>1507388</vt:i4>
      </vt:variant>
      <vt:variant>
        <vt:i4>32</vt:i4>
      </vt:variant>
      <vt:variant>
        <vt:i4>0</vt:i4>
      </vt:variant>
      <vt:variant>
        <vt:i4>5</vt:i4>
      </vt:variant>
      <vt:variant>
        <vt:lpwstr/>
      </vt:variant>
      <vt:variant>
        <vt:lpwstr>_Toc161741802</vt:lpwstr>
      </vt:variant>
      <vt:variant>
        <vt:i4>1507388</vt:i4>
      </vt:variant>
      <vt:variant>
        <vt:i4>26</vt:i4>
      </vt:variant>
      <vt:variant>
        <vt:i4>0</vt:i4>
      </vt:variant>
      <vt:variant>
        <vt:i4>5</vt:i4>
      </vt:variant>
      <vt:variant>
        <vt:lpwstr/>
      </vt:variant>
      <vt:variant>
        <vt:lpwstr>_Toc161741801</vt:lpwstr>
      </vt:variant>
      <vt:variant>
        <vt:i4>1507388</vt:i4>
      </vt:variant>
      <vt:variant>
        <vt:i4>20</vt:i4>
      </vt:variant>
      <vt:variant>
        <vt:i4>0</vt:i4>
      </vt:variant>
      <vt:variant>
        <vt:i4>5</vt:i4>
      </vt:variant>
      <vt:variant>
        <vt:lpwstr/>
      </vt:variant>
      <vt:variant>
        <vt:lpwstr>_Toc161741800</vt:lpwstr>
      </vt:variant>
      <vt:variant>
        <vt:i4>1966131</vt:i4>
      </vt:variant>
      <vt:variant>
        <vt:i4>14</vt:i4>
      </vt:variant>
      <vt:variant>
        <vt:i4>0</vt:i4>
      </vt:variant>
      <vt:variant>
        <vt:i4>5</vt:i4>
      </vt:variant>
      <vt:variant>
        <vt:lpwstr/>
      </vt:variant>
      <vt:variant>
        <vt:lpwstr>_Toc161741799</vt:lpwstr>
      </vt:variant>
      <vt:variant>
        <vt:i4>1966131</vt:i4>
      </vt:variant>
      <vt:variant>
        <vt:i4>8</vt:i4>
      </vt:variant>
      <vt:variant>
        <vt:i4>0</vt:i4>
      </vt:variant>
      <vt:variant>
        <vt:i4>5</vt:i4>
      </vt:variant>
      <vt:variant>
        <vt:lpwstr/>
      </vt:variant>
      <vt:variant>
        <vt:lpwstr>_Toc161741798</vt:lpwstr>
      </vt:variant>
      <vt:variant>
        <vt:i4>1966131</vt:i4>
      </vt:variant>
      <vt:variant>
        <vt:i4>2</vt:i4>
      </vt:variant>
      <vt:variant>
        <vt:i4>0</vt:i4>
      </vt:variant>
      <vt:variant>
        <vt:i4>5</vt:i4>
      </vt:variant>
      <vt:variant>
        <vt:lpwstr/>
      </vt:variant>
      <vt:variant>
        <vt:lpwstr>_Toc161741797</vt:lpwstr>
      </vt:variant>
      <vt:variant>
        <vt:i4>4587546</vt:i4>
      </vt:variant>
      <vt:variant>
        <vt:i4>6</vt:i4>
      </vt:variant>
      <vt:variant>
        <vt:i4>0</vt:i4>
      </vt:variant>
      <vt:variant>
        <vt:i4>5</vt:i4>
      </vt:variant>
      <vt:variant>
        <vt:lpwstr>http://www.tiangua.ce.gov.br/</vt:lpwstr>
      </vt:variant>
      <vt:variant>
        <vt:lpwstr/>
      </vt:variant>
      <vt:variant>
        <vt:i4>6946919</vt:i4>
      </vt:variant>
      <vt:variant>
        <vt:i4>3</vt:i4>
      </vt:variant>
      <vt:variant>
        <vt:i4>0</vt:i4>
      </vt:variant>
      <vt:variant>
        <vt:i4>5</vt:i4>
      </vt:variant>
      <vt:variant>
        <vt:lpwstr>mailto:site%20ww.tiangua.ce.gov.br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dc:title>
  <dc:subject>Modelo</dc:subject>
  <dc:creator>Júnior Rodrigues</dc:creator>
  <cp:keywords/>
  <cp:lastModifiedBy>ADMIN</cp:lastModifiedBy>
  <cp:revision>160</cp:revision>
  <cp:lastPrinted>2024-02-27T00:45:00Z</cp:lastPrinted>
  <dcterms:created xsi:type="dcterms:W3CDTF">2024-04-12T17:59:00Z</dcterms:created>
  <dcterms:modified xsi:type="dcterms:W3CDTF">2026-06-16T14:53:00Z</dcterms:modified>
</cp:coreProperties>
</file>